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2104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360" w:lineRule="auto"/>
        <w:ind w:left="0" w:right="0"/>
        <w:textAlignment w:val="auto"/>
        <w:rPr>
          <w:rFonts w:hint="eastAsia" w:asciiTheme="minorEastAsia" w:hAnsiTheme="minorEastAsia" w:eastAsiaTheme="minorEastAsia" w:cstheme="minorEastAsia"/>
          <w:color w:val="333333"/>
          <w:sz w:val="24"/>
          <w:szCs w:val="24"/>
          <w:highlight w:val="none"/>
          <w:shd w:val="clear" w:fill="FFFFFF"/>
          <w:lang w:val="en-US" w:eastAsia="zh-CN"/>
        </w:rPr>
      </w:pPr>
      <w:r>
        <w:rPr>
          <w:rFonts w:hint="eastAsia" w:asciiTheme="minorEastAsia" w:hAnsiTheme="minorEastAsia" w:eastAsiaTheme="minorEastAsia" w:cstheme="minorEastAsia"/>
          <w:color w:val="333333"/>
          <w:sz w:val="24"/>
          <w:szCs w:val="24"/>
          <w:highlight w:val="none"/>
          <w:shd w:val="clear" w:fill="FFFFFF"/>
          <w:lang w:val="en-US" w:eastAsia="zh-CN"/>
        </w:rPr>
        <w:t xml:space="preserve">附件2 </w:t>
      </w:r>
    </w:p>
    <w:p w14:paraId="51C3C4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医学前沿科学中心</w:t>
      </w: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由教育部疾病分子网络前沿科学中心、卫健委移植工程与移植免疫重点实验室、循证医学教育部网上合作研究中心联合构成，立足临床医学、基础医学、药学、生物学、计算机科学、化学及生物医学工程等交叉研究前沿方向，致力于培养一批“医学+”交叉学科高层次创新人才。</w:t>
      </w:r>
    </w:p>
    <w:p w14:paraId="4A5AA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 </w:t>
      </w:r>
    </w:p>
    <w:p w14:paraId="248A2D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vertAlign w:val="baseline"/>
        </w:rPr>
        <w:t>教育部疾病分子网络前沿科学中心</w:t>
      </w:r>
    </w:p>
    <w:p w14:paraId="308D3B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"http://fscdrmn.wchscu.cn/index.html"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b w:val="0"/>
          <w:bCs w:val="0"/>
          <w:i w:val="0"/>
          <w:iCs w:val="0"/>
          <w:color w:val="1E6FFF"/>
          <w:spacing w:val="0"/>
          <w:w w:val="100"/>
          <w:sz w:val="24"/>
          <w:szCs w:val="24"/>
          <w:u w:val="single"/>
          <w:vertAlign w:val="baseline"/>
        </w:rPr>
        <w:t>http://fscdrmn.wchscu.cn/index.html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 w:val="0"/>
          <w:bCs w:val="0"/>
          <w:i w:val="0"/>
          <w:iCs w:val="0"/>
          <w:color w:val="000000"/>
          <w:spacing w:val="0"/>
          <w:w w:val="100"/>
          <w:sz w:val="24"/>
          <w:szCs w:val="24"/>
          <w:vertAlign w:val="baseline"/>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"https://yjs.cd120.com/channels/602.html"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b w:val="0"/>
          <w:bCs w:val="0"/>
          <w:i w:val="0"/>
          <w:iCs w:val="0"/>
          <w:color w:val="1E6FFF"/>
          <w:spacing w:val="0"/>
          <w:w w:val="100"/>
          <w:sz w:val="24"/>
          <w:szCs w:val="24"/>
          <w:u w:val="single"/>
          <w:vertAlign w:val="baseline"/>
        </w:rPr>
        <w:t>https://yjs.cd120.com/channels/602.html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 w:val="0"/>
          <w:bCs w:val="0"/>
          <w:i w:val="0"/>
          <w:iCs w:val="0"/>
          <w:color w:val="000000"/>
          <w:spacing w:val="0"/>
          <w:w w:val="100"/>
          <w:sz w:val="24"/>
          <w:szCs w:val="24"/>
          <w:vertAlign w:val="baseline"/>
        </w:rPr>
        <w:t>，电话028-61526672</w:t>
      </w:r>
    </w:p>
    <w:p w14:paraId="20504A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iCs/>
          <w:color w:val="000000"/>
          <w:spacing w:val="0"/>
          <w:w w:val="100"/>
          <w:sz w:val="24"/>
          <w:szCs w:val="24"/>
          <w:vertAlign w:val="baseline"/>
        </w:rPr>
        <w:t> </w:t>
      </w:r>
    </w:p>
    <w:p w14:paraId="077122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四川大学疾病分子网络前沿科学中心（以下简称“中心”）由教育部于2018年正式批准成立，为全国首批7个前沿科学中心之一。中心依托四川大学华西医院临床大数据及生物样本资源，同时依托四川大学优质的人工智能研究技术与人才队伍，开展以恶性肿瘤、免疫性疾病和罕见病等疾病发生发展为主的分子网络关系研究。旨在发现重大疾病演进的关键分子靶点、阐释蛋白分子网络调控相互作用及其在疾病进程中的作用，并进行相关靶向药物与靶向示踪剂的研发与评价，为疾病个体化、精准治疗提供前沿科学基础。</w:t>
      </w:r>
    </w:p>
    <w:p w14:paraId="060207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联合四川大学基础医学、药学、公卫、生命科学、化学、计算机、材料学等多学科，以疾病分子网络的前沿科学问题为牵引，开展前瞻性、战略性、前沿性基础研究。中心由呼吸和共病研究院、疾病系统遗传研究院、免疫炎症研究院、功能与分子影像研究院、罕见病研究院和生物医学大数据中心构成，各研究院又下辖相关研究室若干。中心科研队伍中正高职称46人，副高职称26人，其中硕士生导师24人，博士生导师51人；高端引进人才23人。目前，在读研究生205人，包含硕士研究生83人，博士研究生122人。</w:t>
      </w:r>
    </w:p>
    <w:p w14:paraId="286C54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自批准建设以来，实验室取得系列突破性研究成果，累计获得国家级、科技部/教育部、四川省等各级奖励22项，获批/主持国家级项目274项，省部级项目337项。在国际高水平期刊发表高水平论文1991篇。累计获授权专利629项，其中发明专利550项。</w:t>
      </w:r>
    </w:p>
    <w:p w14:paraId="48DB5C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位于成都前沿医学中心，建筑面积约4.2万平方米。中心具备疾病发生发展机制研究的实验设施和一流团队，同时拥有国际国内先进的设备平台，包括分子与细胞平台（含二级生物安全实验室）、实验病理技术平台、基因组学平台、质谱平台及反相蛋白芯片（RPPA）平台5个实验技术平台。公共平台现配备大中型仪器设备近30台，为中心提供完整的生物医学科研平台服务体系。中心将打造成为医学基础和临床研究的疾病分子网络前沿领域不可替代的国际研究中心、创新中心和人才摇篮。</w:t>
      </w:r>
    </w:p>
    <w:p w14:paraId="53B32B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vertAlign w:val="baseline"/>
        </w:rPr>
        <w:t> </w:t>
      </w:r>
    </w:p>
    <w:p w14:paraId="4F16F9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vertAlign w:val="baseline"/>
        </w:rPr>
        <w:t>卫健委移植工程与移植免疫重点实验室</w:t>
      </w:r>
    </w:p>
    <w:p w14:paraId="64E11A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"https://yjs.cd120.com/channels/563.html"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b w:val="0"/>
          <w:bCs w:val="0"/>
          <w:i w:val="0"/>
          <w:iCs w:val="0"/>
          <w:color w:val="1E6FFF"/>
          <w:spacing w:val="0"/>
          <w:w w:val="100"/>
          <w:sz w:val="24"/>
          <w:szCs w:val="24"/>
          <w:u w:val="single"/>
          <w:vertAlign w:val="baseline"/>
        </w:rPr>
        <w:t>https://yjs.cd120.com/channels/563.html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 w:val="0"/>
          <w:bCs w:val="0"/>
          <w:i w:val="0"/>
          <w:iCs w:val="0"/>
          <w:color w:val="000000"/>
          <w:spacing w:val="0"/>
          <w:w w:val="100"/>
          <w:sz w:val="24"/>
          <w:szCs w:val="24"/>
          <w:vertAlign w:val="baseline"/>
        </w:rPr>
        <w:t>，电话028-85164034</w:t>
      </w:r>
    </w:p>
    <w:p w14:paraId="277A18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 </w:t>
      </w:r>
    </w:p>
    <w:p w14:paraId="0CB614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国家卫健委移植工程与移植免疫重点实验室于2002年获准建设，2003年创建教育部二级学科—移植科学与工程学，2004年获准教育部创新团队，2007年获准国家级重点学科普通外科学，2014年获准卫计委“国家临床重点专科重点实验室建设项目”。</w:t>
      </w:r>
    </w:p>
    <w:p w14:paraId="7EC88C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实验室现有专职科研人员25人。其中，博士生导师9名，硕士生导师4名。拥有实验空间3000余平米，建成细胞培养、组织病理、蛋白工程和分子生物学等实验技术平台。针对组织器官移植和功能恢复等临床前沿问题，围绕数字病理与人工智能、分子病理、肝组织工程、代谢性疾病的分子网络及干预方法、靶向工程药物及蛋白质和代谢组学等研究方向，开展基础和应用基础研究。</w:t>
      </w:r>
    </w:p>
    <w:p w14:paraId="511D7A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实验室共获准包括国家重点研发计划、973、863和国家自然基金重点课题在内的各级科研项目70余项，总经费近1亿元。已培养博士后、博士和硕士研究生近240人。以研究生为第一作者在国际著名专业杂志上发表论文200余篇。其中1篇获评“全国百篇优秀博士论文”。以研究生参与的工作为基础，申请PCT国际专利7项，其中2项美国发明专利获得授权，申请中国发明专利25项，其中9项获得授权。开设移植免疫生物学和分子病理学等博、硕士课程及全国继续教育课程，是国内重要的移植免疫、分子病理专业人才培养基地。</w:t>
      </w:r>
    </w:p>
    <w:p w14:paraId="2C5ECB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 </w:t>
      </w:r>
    </w:p>
    <w:p w14:paraId="40871587">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right="0" w:firstLine="420"/>
        <w:jc w:val="center"/>
        <w:textAlignment w:val="auto"/>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pPr>
      <w:bookmarkStart w:id="0" w:name="_GoBack"/>
      <w:bookmarkEnd w:id="0"/>
    </w:p>
    <w:p w14:paraId="72DD5661">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循证医学教育部网上合作研究中心</w:t>
      </w:r>
    </w:p>
    <w:p w14:paraId="64EAC7CF">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right="0"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"https://yjs.cd120.com/channels/545.html"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b w:val="0"/>
          <w:bCs w:val="0"/>
          <w:i w:val="0"/>
          <w:iCs w:val="0"/>
          <w:color w:val="1E6FFF"/>
          <w:spacing w:val="0"/>
          <w:w w:val="100"/>
          <w:sz w:val="24"/>
          <w:szCs w:val="24"/>
          <w:u w:val="single"/>
          <w:vertAlign w:val="baseline"/>
        </w:rPr>
        <w:t>https://yjs.cd120.com/channels/545.html</w:t>
      </w:r>
      <w:r>
        <w:rPr>
          <w:rFonts w:hint="eastAsia" w:asciiTheme="minorEastAsia" w:hAnsiTheme="minorEastAsia" w:eastAsiaTheme="minorEastAsia" w:cstheme="minorEastAsia"/>
          <w:sz w:val="24"/>
          <w:szCs w:val="24"/>
        </w:rPr>
        <w:fldChar w:fldCharType="end"/>
      </w:r>
    </w:p>
    <w:p w14:paraId="18A67B3B">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right="0" w:firstLine="4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 </w:t>
      </w:r>
    </w:p>
    <w:p w14:paraId="48AE8A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四川大学华西医院临床流行病学与循证医学研究中心是我国循证医学和临床流行病学发源地，分别于1983年和1997年成立了全国首个临床流行病学研究室和中国循证医学中心，处于国内领先地位，具有广泛的国际知名度。2014年，融合临床流行病学与循证医学传统学科优势，在大数据、人工智能与信息技术的时代背景下，创建了“真实世界数据研究”新兴交叉学科方向，系统建立了理论方法和关键技术，并纳入本科生和研究生规划教材。2022年，在已有学科基础上，引入药理、药学、生物信息科学与生物技术等，提出“系统循证医学”的理念，形成以临床价值为导向的临床-基础融合交叉的证据闭环。</w:t>
      </w:r>
    </w:p>
    <w:p w14:paraId="6CD875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1.人才梯队</w:t>
      </w:r>
    </w:p>
    <w:p w14:paraId="2BEAE0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现有华西终身教授2人（王家良教授、李幼平教授），全职工作人员43人（含正高6人、副高6人），其中国家杰青、国家海外高层次人才、国家级青年人才计划、青年岐黄学者6人次。兼职教师近30人，分布于临床医学各专业。</w:t>
      </w:r>
    </w:p>
    <w:p w14:paraId="4E937D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2.学术平台</w:t>
      </w:r>
    </w:p>
    <w:p w14:paraId="078776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成立至今已牵头创建多个国际和省部级平台，涵盖教育、医疗、医药和中医药等多个领域，包括：（1）五个省部级平台：国家卫生健康委临床流行病学与循证医学重点实验室、国家药监管理局海南真实世界数据研究与评价重点实验室、四川省真实世界数据技术创新中心、工信部人工智能医疗器械真实世界数据应用平台、循证医学教育部网上合作研究中心；（2）五个国际合作平台：INCLEN华西中心（临床研究方法）、中国Cochrane中心（临床证据合成）、中国临床试验注册中心（ChiCTR）、 MAGIC中国中心（快速临床指南）；IDEAL中国中心（外科临床研究）。（3）两本学术期刊：《中国循证医学杂志》（北大核心及CSCD收录）和Journal of Evidence-based Medicine（SCI收录）。 </w:t>
      </w:r>
    </w:p>
    <w:p w14:paraId="29B4FB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3.教学和研究生教育</w:t>
      </w:r>
    </w:p>
    <w:p w14:paraId="0645CE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2002年，教育部批准四川大学牵头建立循证医学教育部网上合作研究中心，同时批准四川大学华西临床医学院创建首批新兴交叉二级学科循证医学。中心在全国最早建立循证医学硕、博士学位授位点和博士后流动站（2004年），截至2026年5月，共培养循证医学硕士142人、博士83人、博士后22人。</w:t>
      </w:r>
    </w:p>
    <w:p w14:paraId="58EC88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中心在全国最早开始主编临床流行病学、循证医学教材，主编《循证医学》《临床流行病学》等教材共25部（含规划教材17部），主编全国首部《临床科研设计指南》《实用循证医学》《循证中医药学》等专著。</w:t>
      </w:r>
    </w:p>
    <w:p w14:paraId="743B59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在全国率先为医学本科生、研究生及留学生开设临床科研设计、循证医学等课程。其中，《循证医学》课程为国家级精品资源共享课程和省级精品在线开放课程。中心先后获教育部国家级精品资源课程、国家级教学成果奖二等奖、教育部国家级优秀教学团队、四川省优秀教学成果等教学项目及奖项共34项，其中国家级15项，省级2项，校级14项。</w:t>
      </w:r>
    </w:p>
    <w:p w14:paraId="687640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4.科研和学术成果</w:t>
      </w:r>
    </w:p>
    <w:p w14:paraId="09D892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依托学科与学术平台体系，以医疗、医药、中医药多维度决策需求和应用为导向，构建了以“真实世界数据研究—临床试验—证据合成—指南制作—生物技术”为核心的技术链条，实现需求驱动、资源整合、方法创新的有机融合。中心建有三大研究方向，包括：（1）临床研究与循证实践：聚焦临床研究与循证实践的方法学开发与应用，支持临床研究与指南制定，对接医院临床专科支持计划，形成具有国内外影响、华西特色的临床研究方法学平台；（2）药械评价与医药决策：以医药决策需求为导向，利用临流、循证、统计、人工智能等技术，开展药械评价与监管科学研究；（3）中医药循证医学：以临床价值为导向的现代中药临床-基础与精准治疗研究体系，聚焦疑难危重症，基于多学科交叉技术，支撑现代中药研发、疗效评价与阐释。</w:t>
      </w:r>
    </w:p>
    <w:p w14:paraId="5D5947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自成立以来，先后承担国家自然科学基金（杰青、国合重点、重大项目课题、面上等）、国家重点研发计划、国家科技重大专项、国家药监局、国家中医药管理局、四川省科技厅等国家级、省部级纵向课题84项；以第一/通讯发表SCI论文300余篇，含世界四大医学顶刊JAMA（IF 55.0）、BMJ（IF 43.0）论文10篇，以及STTT、NPJ Digit Med、JAMA Netw Open、Pharmacol Res、Crit Care、Eur J Epidemiol、Int J Epidemiol、BMC Med、Phytomedicine等领域内权威期刊；联合国家药监局、国家医保局发布技术标准/专家共识7部，牵头制定国内外技术标准/指南14项。授权/受理发明专利21项、软著12项。获四川省科技进步一等奖、妇幼健康科学技术奖一等奖、教育部科技进步二等奖、国家计划生育委员会科技进步二等奖、华夏医学科技奖二等奖、中华医学科技奖二等奖、中华中医药学会科学技术二等奖、BMJ杰出研究成就奖（唯一获奖中国学者）、中国药学发展奖突出成就奖、树兰医学青年奖等奖项。</w:t>
      </w:r>
    </w:p>
    <w:p w14:paraId="223875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spacing w:val="0"/>
          <w:w w:val="100"/>
          <w:sz w:val="24"/>
          <w:szCs w:val="24"/>
          <w:shd w:val="clear" w:fill="FFFFFF"/>
          <w:vertAlign w:val="baseline"/>
        </w:rPr>
        <w:t>5.对外交流和社会服务</w:t>
      </w:r>
    </w:p>
    <w:p w14:paraId="447DD0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i w:val="0"/>
          <w:iCs w:val="0"/>
          <w:color w:val="000000"/>
          <w:spacing w:val="0"/>
          <w:w w:val="100"/>
          <w:sz w:val="24"/>
          <w:szCs w:val="24"/>
          <w:shd w:val="clear" w:fill="FFFFFF"/>
          <w:vertAlign w:val="baseline"/>
        </w:rPr>
        <w:t>中心聚焦真实世界数据支持药械研发、审评审批和安全监管，与国家药监局、海南省药监等部门建立了紧密合作关系，取得了系列标志性成果。近年来，中心已成功举办大型国际/全国性学术会议36次，线上、线下累计逾3万人参会，已形成广泛学术影响力和较高行业知名度。其中，由中心创办的“亚太地区循证医学研讨会”、“真实世界数据与研究全国大会”获国家药监局、国家医保局、国家中医药管理局、四川省科技厅、海南省药监局、四川省中医药管理局等行业主管部门领导，欧洲药监局、英国牛津大学、英国医学杂志（The BMJ）等国际组织机构积极参与，并被人民日报、中新网、健康报、丁香园等国内知名新闻媒体报道，已成为领域内最具引领性的高峰品牌会议。 </w:t>
      </w:r>
    </w:p>
    <w:p w14:paraId="010F5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zA2MDdmMDQ3NmZmMGZkZjQxZjhhOTliMWE4MjgifQ=="/>
    <w:docVar w:name="KSO_WPS_MARK_KEY" w:val="acf4b4a9-8acf-44bb-ba9c-a63f417990fd"/>
  </w:docVars>
  <w:rsids>
    <w:rsidRoot w:val="551A0B6E"/>
    <w:rsid w:val="54A271B4"/>
    <w:rsid w:val="551A0B6E"/>
    <w:rsid w:val="58C61AF5"/>
    <w:rsid w:val="7790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3542</Words>
  <Characters>3969</Characters>
  <Lines>0</Lines>
  <Paragraphs>0</Paragraphs>
  <TotalTime>1</TotalTime>
  <ScaleCrop>false</ScaleCrop>
  <LinksUpToDate>false</LinksUpToDate>
  <CharactersWithSpaces>3996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2024-06-11T07:58:00Z</dcterms:created>
  <dc:creator>肖羽</dc:creator>
  <cp:lastModifiedBy>风萧萧兮</cp:lastModifiedBy>
  <dcterms:modified xsi:type="dcterms:W3CDTF">2026-06-10T04:51:30Z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F928170A8CA8424FAAD9D4B92038A55B_13</vt:lpwstr>
  </property>
  <property fmtid="{D5CDD505-2E9C-101B-9397-08002B2CF9AE}" pid="4" name="KSOTemplateDocerSaveRecord">
    <vt:lpwstr>eyJoZGlkIjoiMWYxZWJiNmZhMjdjMDI5MGJhN2NkZDJiNWNmMGUwZmMiLCJ1c2VySWQiOiI5NzY5NDg5MjkifQ==</vt:lpwstr>
  </property>
</Properties>
</file>