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9B20D">
      <w:pPr>
        <w:ind w:firstLine="1820" w:firstLineChars="350"/>
        <w:rPr>
          <w:sz w:val="52"/>
          <w:szCs w:val="52"/>
        </w:rPr>
      </w:pPr>
      <w:r>
        <w:rPr>
          <w:rFonts w:hint="eastAsia"/>
          <w:sz w:val="52"/>
          <w:szCs w:val="52"/>
        </w:rPr>
        <w:t>学生平安保险简介</w:t>
      </w:r>
    </w:p>
    <w:p w14:paraId="484928F8">
      <w:pPr>
        <w:rPr>
          <w:sz w:val="32"/>
          <w:szCs w:val="32"/>
        </w:rPr>
      </w:pPr>
      <w:r>
        <w:rPr>
          <w:rFonts w:hint="eastAsia"/>
          <w:sz w:val="28"/>
          <w:szCs w:val="28"/>
        </w:rPr>
        <w:t>一</w:t>
      </w:r>
      <w:r>
        <w:rPr>
          <w:rFonts w:hint="eastAsia"/>
          <w:sz w:val="32"/>
          <w:szCs w:val="32"/>
        </w:rPr>
        <w:t>．学生平安保险的特点</w:t>
      </w:r>
    </w:p>
    <w:p w14:paraId="35DE7F15">
      <w:pPr>
        <w:pStyle w:val="2"/>
        <w:rPr>
          <w:rFonts w:hint="default"/>
          <w:sz w:val="30"/>
          <w:szCs w:val="30"/>
          <w:lang w:val="en-IE"/>
        </w:rPr>
      </w:pPr>
      <w:r>
        <w:rPr>
          <w:rFonts w:hint="eastAsia"/>
          <w:sz w:val="28"/>
          <w:szCs w:val="28"/>
        </w:rPr>
        <w:t>学生平安保险是专门为学生开设的低保费、高保障的险种，是关系每一位学生和家长切身利益的险种</w:t>
      </w:r>
      <w:r>
        <w:rPr>
          <w:rFonts w:hint="eastAsia"/>
          <w:sz w:val="30"/>
          <w:szCs w:val="30"/>
        </w:rPr>
        <w:t>，国家的基本医疗保险是按医院等级赔付（医院等级越高基本医疗保险赔付比例越低），平安险是不分医院等级，医疗费用越高赔付比例越高，对基本医疗保险形成有力的补足。为学生的健康、幸福提供双保险。</w:t>
      </w:r>
    </w:p>
    <w:p w14:paraId="0BC08306">
      <w:pPr>
        <w:rPr>
          <w:sz w:val="24"/>
          <w:szCs w:val="24"/>
        </w:rPr>
      </w:pPr>
      <w:r>
        <w:rPr>
          <w:rFonts w:hint="eastAsia"/>
          <w:sz w:val="28"/>
          <w:szCs w:val="28"/>
        </w:rPr>
        <w:t xml:space="preserve">其特点如下：                                    </w:t>
      </w:r>
    </w:p>
    <w:p w14:paraId="26FE1EE8">
      <w:pPr>
        <w:rPr>
          <w:sz w:val="30"/>
          <w:szCs w:val="30"/>
        </w:rPr>
      </w:pPr>
      <w:r>
        <w:rPr>
          <w:rFonts w:hint="eastAsia"/>
          <w:sz w:val="32"/>
          <w:szCs w:val="32"/>
        </w:rPr>
        <w:t>1</w:t>
      </w:r>
      <w:r>
        <w:rPr>
          <w:rFonts w:hint="eastAsia"/>
          <w:sz w:val="44"/>
          <w:szCs w:val="44"/>
        </w:rPr>
        <w:t>.</w:t>
      </w:r>
      <w:r>
        <w:rPr>
          <w:rFonts w:hint="eastAsia"/>
          <w:sz w:val="30"/>
          <w:szCs w:val="30"/>
        </w:rPr>
        <w:t>保障全面</w:t>
      </w:r>
    </w:p>
    <w:p w14:paraId="6B80E22B">
      <w:pPr>
        <w:rPr>
          <w:sz w:val="30"/>
          <w:szCs w:val="30"/>
        </w:rPr>
      </w:pPr>
      <w:r>
        <w:rPr>
          <w:rFonts w:hint="eastAsia"/>
          <w:sz w:val="30"/>
          <w:szCs w:val="30"/>
        </w:rPr>
        <w:t xml:space="preserve"> 该保险对学生因疾病或意外伤害导致的医疗费用和残疾、身故等进行赔付。</w:t>
      </w:r>
    </w:p>
    <w:p w14:paraId="2E753351">
      <w:pPr>
        <w:rPr>
          <w:sz w:val="30"/>
          <w:szCs w:val="30"/>
        </w:rPr>
      </w:pPr>
      <w:r>
        <w:rPr>
          <w:rFonts w:hint="eastAsia"/>
          <w:sz w:val="30"/>
          <w:szCs w:val="30"/>
        </w:rPr>
        <w:t>2.保费低、保障高。</w:t>
      </w:r>
    </w:p>
    <w:p w14:paraId="03645A2C">
      <w:pPr>
        <w:rPr>
          <w:sz w:val="30"/>
          <w:szCs w:val="30"/>
        </w:rPr>
      </w:pPr>
      <w:r>
        <w:rPr>
          <w:rFonts w:hint="eastAsia"/>
          <w:sz w:val="30"/>
          <w:szCs w:val="30"/>
        </w:rPr>
        <w:t>每位学生只需缴纳50元/每年的保费，就可每年享受如下高额保障：</w:t>
      </w:r>
    </w:p>
    <w:p w14:paraId="69447691">
      <w:pPr>
        <w:rPr>
          <w:sz w:val="32"/>
          <w:szCs w:val="32"/>
        </w:rPr>
      </w:pPr>
      <w:r>
        <w:rPr>
          <w:rFonts w:hint="eastAsia"/>
          <w:sz w:val="32"/>
          <w:szCs w:val="32"/>
        </w:rPr>
        <w:t>疾病或意外伤害住院医疗保险金：</w:t>
      </w:r>
      <w:r>
        <w:rPr>
          <w:rFonts w:hint="eastAsia"/>
          <w:color w:val="FF0000"/>
          <w:sz w:val="32"/>
          <w:szCs w:val="32"/>
          <w:lang w:val="en-US" w:eastAsia="zh-CN"/>
        </w:rPr>
        <w:t>8</w:t>
      </w:r>
      <w:r>
        <w:rPr>
          <w:rFonts w:hint="eastAsia"/>
          <w:color w:val="FF0000"/>
          <w:sz w:val="32"/>
          <w:szCs w:val="32"/>
        </w:rPr>
        <w:t>0 000</w:t>
      </w:r>
      <w:r>
        <w:rPr>
          <w:rFonts w:hint="eastAsia"/>
          <w:sz w:val="32"/>
          <w:szCs w:val="32"/>
        </w:rPr>
        <w:t>元；</w:t>
      </w:r>
    </w:p>
    <w:p w14:paraId="13994F52">
      <w:pPr>
        <w:rPr>
          <w:sz w:val="32"/>
          <w:szCs w:val="32"/>
        </w:rPr>
      </w:pPr>
      <w:r>
        <w:rPr>
          <w:rFonts w:hint="eastAsia"/>
          <w:sz w:val="32"/>
          <w:szCs w:val="32"/>
        </w:rPr>
        <w:t>意外伤害门诊医疗保险金：</w:t>
      </w:r>
      <w:r>
        <w:rPr>
          <w:rFonts w:hint="eastAsia"/>
          <w:color w:val="FF0000"/>
          <w:sz w:val="32"/>
          <w:szCs w:val="32"/>
        </w:rPr>
        <w:t>5 000</w:t>
      </w:r>
      <w:r>
        <w:rPr>
          <w:rFonts w:hint="eastAsia"/>
          <w:sz w:val="32"/>
          <w:szCs w:val="32"/>
        </w:rPr>
        <w:t>元;</w:t>
      </w:r>
    </w:p>
    <w:p w14:paraId="618DD900">
      <w:pPr>
        <w:rPr>
          <w:rFonts w:hint="eastAsia"/>
          <w:sz w:val="32"/>
          <w:szCs w:val="32"/>
        </w:rPr>
      </w:pPr>
      <w:r>
        <w:rPr>
          <w:rFonts w:hint="eastAsia"/>
          <w:sz w:val="32"/>
          <w:szCs w:val="32"/>
        </w:rPr>
        <w:t>疾病或意外身故保险金:</w:t>
      </w:r>
      <w:r>
        <w:rPr>
          <w:rFonts w:hint="eastAsia"/>
          <w:color w:val="FF0000"/>
          <w:sz w:val="32"/>
          <w:szCs w:val="32"/>
          <w:lang w:val="en-US" w:eastAsia="zh-CN"/>
        </w:rPr>
        <w:t>5</w:t>
      </w:r>
      <w:r>
        <w:rPr>
          <w:rFonts w:hint="eastAsia"/>
          <w:color w:val="FF0000"/>
          <w:sz w:val="32"/>
          <w:szCs w:val="32"/>
        </w:rPr>
        <w:t>0 000元。</w:t>
      </w:r>
    </w:p>
    <w:p w14:paraId="78DFB529">
      <w:pPr>
        <w:rPr>
          <w:sz w:val="32"/>
          <w:szCs w:val="32"/>
        </w:rPr>
      </w:pPr>
      <w:r>
        <w:rPr>
          <w:rFonts w:hint="eastAsia"/>
          <w:sz w:val="32"/>
          <w:szCs w:val="32"/>
        </w:rPr>
        <w:t xml:space="preserve">                                    </w:t>
      </w:r>
    </w:p>
    <w:p w14:paraId="7DED7193">
      <w:pPr>
        <w:rPr>
          <w:sz w:val="30"/>
          <w:szCs w:val="30"/>
        </w:rPr>
      </w:pPr>
      <w:r>
        <w:rPr>
          <w:rFonts w:hint="eastAsia"/>
          <w:sz w:val="30"/>
          <w:szCs w:val="30"/>
        </w:rPr>
        <w:t>3.赔付方便</w:t>
      </w:r>
    </w:p>
    <w:p w14:paraId="6B64B5AD">
      <w:pPr>
        <w:rPr>
          <w:sz w:val="30"/>
          <w:szCs w:val="30"/>
        </w:rPr>
      </w:pPr>
      <w:r>
        <w:rPr>
          <w:rFonts w:hint="eastAsia"/>
          <w:sz w:val="30"/>
          <w:szCs w:val="30"/>
        </w:rPr>
        <w:t>为保证赔款及时、准确，本公司提供专职服务人员上门服务，收取资料。</w:t>
      </w:r>
    </w:p>
    <w:p w14:paraId="76905D04">
      <w:pPr>
        <w:rPr>
          <w:sz w:val="32"/>
          <w:szCs w:val="32"/>
        </w:rPr>
      </w:pPr>
      <w:r>
        <w:rPr>
          <w:rFonts w:hint="eastAsia"/>
          <w:sz w:val="32"/>
          <w:szCs w:val="32"/>
        </w:rPr>
        <w:t>二.购买学生平安保险的益处</w:t>
      </w:r>
    </w:p>
    <w:p w14:paraId="658BEFB6">
      <w:pPr>
        <w:ind w:firstLine="320" w:firstLineChars="100"/>
        <w:rPr>
          <w:sz w:val="32"/>
          <w:szCs w:val="32"/>
        </w:rPr>
      </w:pPr>
      <w:r>
        <w:rPr>
          <w:rFonts w:hint="eastAsia"/>
          <w:sz w:val="32"/>
          <w:szCs w:val="32"/>
        </w:rPr>
        <w:t>在医疗费用高涨的今天，一次小小的疾病或意外伤害就可能给学生及家长带来数千元甚至上万元的经济负担。       学生平安险主要突出因疾病或意外伤害住院以及意外伤害门诊的赔付，同时，还再保险人意外身故、意外残疾和疾病身故时额外给付保险金50000元。</w:t>
      </w:r>
    </w:p>
    <w:tbl>
      <w:tblPr>
        <w:tblStyle w:val="4"/>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9"/>
        <w:gridCol w:w="1122"/>
        <w:gridCol w:w="3559"/>
        <w:gridCol w:w="1001"/>
      </w:tblGrid>
      <w:tr w14:paraId="7E9E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1" w:type="dxa"/>
            <w:gridSpan w:val="2"/>
            <w:tcBorders>
              <w:top w:val="single" w:color="auto" w:sz="4" w:space="0"/>
              <w:left w:val="single" w:color="auto" w:sz="4" w:space="0"/>
              <w:bottom w:val="single" w:color="auto" w:sz="4" w:space="0"/>
              <w:right w:val="single" w:color="auto" w:sz="4" w:space="0"/>
            </w:tcBorders>
            <w:vAlign w:val="center"/>
          </w:tcPr>
          <w:p w14:paraId="31384479">
            <w:pPr>
              <w:adjustRightInd w:val="0"/>
              <w:snapToGrid w:val="0"/>
              <w:spacing w:line="300" w:lineRule="exact"/>
              <w:jc w:val="center"/>
              <w:rPr>
                <w:rFonts w:ascii="宋体" w:hAnsi="宋体"/>
                <w:bCs/>
                <w:sz w:val="18"/>
                <w:szCs w:val="18"/>
              </w:rPr>
            </w:pPr>
            <w:r>
              <w:rPr>
                <w:rFonts w:hint="eastAsia" w:ascii="宋体" w:hAnsi="宋体"/>
                <w:bCs/>
                <w:sz w:val="18"/>
                <w:szCs w:val="18"/>
              </w:rPr>
              <w:t>未从其他途径获得给付或补偿</w:t>
            </w:r>
          </w:p>
        </w:tc>
        <w:tc>
          <w:tcPr>
            <w:tcW w:w="4560" w:type="dxa"/>
            <w:gridSpan w:val="2"/>
            <w:tcBorders>
              <w:top w:val="single" w:color="auto" w:sz="4" w:space="0"/>
              <w:left w:val="single" w:color="auto" w:sz="4" w:space="0"/>
              <w:bottom w:val="single" w:color="auto" w:sz="4" w:space="0"/>
              <w:right w:val="single" w:color="auto" w:sz="4" w:space="0"/>
            </w:tcBorders>
          </w:tcPr>
          <w:p w14:paraId="5B95AF3F">
            <w:pPr>
              <w:widowControl/>
              <w:jc w:val="left"/>
              <w:rPr>
                <w:sz w:val="18"/>
                <w:szCs w:val="18"/>
              </w:rPr>
            </w:pPr>
            <w:r>
              <w:rPr>
                <w:rFonts w:hint="eastAsia"/>
                <w:sz w:val="18"/>
                <w:szCs w:val="18"/>
              </w:rPr>
              <w:t>已从其他途径获得给付或补偿</w:t>
            </w:r>
          </w:p>
        </w:tc>
      </w:tr>
      <w:tr w14:paraId="64EA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639" w:type="dxa"/>
            <w:tcBorders>
              <w:top w:val="single" w:color="auto" w:sz="4" w:space="0"/>
              <w:left w:val="single" w:color="auto" w:sz="4" w:space="0"/>
              <w:bottom w:val="single" w:color="auto" w:sz="4" w:space="0"/>
              <w:right w:val="single" w:color="auto" w:sz="4" w:space="0"/>
            </w:tcBorders>
            <w:vAlign w:val="center"/>
          </w:tcPr>
          <w:p w14:paraId="57C5CF37">
            <w:pPr>
              <w:adjustRightInd w:val="0"/>
              <w:snapToGrid w:val="0"/>
              <w:spacing w:line="300" w:lineRule="exact"/>
              <w:jc w:val="center"/>
              <w:rPr>
                <w:rFonts w:ascii="宋体" w:hAnsi="宋体"/>
                <w:bCs/>
                <w:sz w:val="18"/>
                <w:szCs w:val="18"/>
              </w:rPr>
            </w:pPr>
            <w:r>
              <w:rPr>
                <w:rFonts w:hint="eastAsia" w:ascii="宋体" w:hAnsi="宋体"/>
                <w:bCs/>
                <w:sz w:val="18"/>
                <w:szCs w:val="18"/>
              </w:rPr>
              <w:t>免赔额或分级累进给付方式</w:t>
            </w:r>
          </w:p>
        </w:tc>
        <w:tc>
          <w:tcPr>
            <w:tcW w:w="1122" w:type="dxa"/>
            <w:tcBorders>
              <w:top w:val="single" w:color="auto" w:sz="4" w:space="0"/>
              <w:left w:val="single" w:color="auto" w:sz="4" w:space="0"/>
              <w:bottom w:val="single" w:color="auto" w:sz="4" w:space="0"/>
              <w:right w:val="single" w:color="auto" w:sz="4" w:space="0"/>
            </w:tcBorders>
            <w:vAlign w:val="center"/>
          </w:tcPr>
          <w:p w14:paraId="78B9C552">
            <w:pPr>
              <w:adjustRightInd w:val="0"/>
              <w:snapToGrid w:val="0"/>
              <w:spacing w:line="300" w:lineRule="exact"/>
              <w:jc w:val="center"/>
              <w:rPr>
                <w:rFonts w:ascii="宋体" w:hAnsi="宋体"/>
                <w:bCs/>
                <w:sz w:val="18"/>
                <w:szCs w:val="18"/>
              </w:rPr>
            </w:pPr>
            <w:r>
              <w:rPr>
                <w:rFonts w:hint="eastAsia" w:ascii="宋体" w:hAnsi="宋体"/>
                <w:bCs/>
                <w:sz w:val="18"/>
                <w:szCs w:val="18"/>
              </w:rPr>
              <w:t>给付比例</w:t>
            </w:r>
          </w:p>
        </w:tc>
        <w:tc>
          <w:tcPr>
            <w:tcW w:w="3559" w:type="dxa"/>
            <w:tcBorders>
              <w:top w:val="single" w:color="auto" w:sz="4" w:space="0"/>
              <w:left w:val="single" w:color="auto" w:sz="4" w:space="0"/>
              <w:bottom w:val="single" w:color="auto" w:sz="4" w:space="0"/>
              <w:right w:val="single" w:color="auto" w:sz="4" w:space="0"/>
            </w:tcBorders>
          </w:tcPr>
          <w:p w14:paraId="4166A78C">
            <w:pPr>
              <w:widowControl/>
              <w:jc w:val="left"/>
              <w:rPr>
                <w:sz w:val="18"/>
                <w:szCs w:val="18"/>
              </w:rPr>
            </w:pPr>
            <w:r>
              <w:rPr>
                <w:rFonts w:hint="eastAsia"/>
                <w:sz w:val="18"/>
                <w:szCs w:val="18"/>
              </w:rPr>
              <w:t>免赔额或分级累进给付方式</w:t>
            </w:r>
          </w:p>
        </w:tc>
        <w:tc>
          <w:tcPr>
            <w:tcW w:w="1001" w:type="dxa"/>
            <w:tcBorders>
              <w:top w:val="single" w:color="auto" w:sz="4" w:space="0"/>
              <w:left w:val="single" w:color="auto" w:sz="4" w:space="0"/>
              <w:bottom w:val="single" w:color="auto" w:sz="4" w:space="0"/>
              <w:right w:val="single" w:color="auto" w:sz="4" w:space="0"/>
            </w:tcBorders>
          </w:tcPr>
          <w:p w14:paraId="1529BB79">
            <w:pPr>
              <w:widowControl/>
              <w:jc w:val="left"/>
              <w:rPr>
                <w:sz w:val="18"/>
                <w:szCs w:val="18"/>
              </w:rPr>
            </w:pPr>
            <w:r>
              <w:rPr>
                <w:rFonts w:hint="eastAsia"/>
                <w:sz w:val="18"/>
                <w:szCs w:val="18"/>
              </w:rPr>
              <w:t>给付比例</w:t>
            </w:r>
          </w:p>
        </w:tc>
      </w:tr>
      <w:tr w14:paraId="3074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9" w:type="dxa"/>
            <w:tcBorders>
              <w:top w:val="single" w:color="auto" w:sz="4" w:space="0"/>
              <w:left w:val="single" w:color="auto" w:sz="4" w:space="0"/>
              <w:bottom w:val="single" w:color="auto" w:sz="4" w:space="0"/>
              <w:right w:val="single" w:color="auto" w:sz="4" w:space="0"/>
            </w:tcBorders>
            <w:vAlign w:val="center"/>
          </w:tcPr>
          <w:p w14:paraId="10C32BE2">
            <w:pPr>
              <w:adjustRightInd w:val="0"/>
              <w:snapToGrid w:val="0"/>
              <w:spacing w:line="300" w:lineRule="exact"/>
              <w:jc w:val="center"/>
              <w:rPr>
                <w:rFonts w:ascii="宋体" w:hAnsi="宋体"/>
                <w:bCs/>
                <w:sz w:val="18"/>
                <w:szCs w:val="18"/>
              </w:rPr>
            </w:pPr>
            <w:r>
              <w:rPr>
                <w:rFonts w:hint="eastAsia" w:ascii="宋体" w:hAnsi="宋体"/>
                <w:bCs/>
                <w:sz w:val="18"/>
                <w:szCs w:val="18"/>
              </w:rPr>
              <w:t>人民币100元以上至1000元部分</w:t>
            </w:r>
          </w:p>
        </w:tc>
        <w:tc>
          <w:tcPr>
            <w:tcW w:w="1122" w:type="dxa"/>
            <w:tcBorders>
              <w:top w:val="single" w:color="auto" w:sz="4" w:space="0"/>
              <w:left w:val="single" w:color="auto" w:sz="4" w:space="0"/>
              <w:bottom w:val="single" w:color="auto" w:sz="4" w:space="0"/>
              <w:right w:val="single" w:color="auto" w:sz="4" w:space="0"/>
            </w:tcBorders>
            <w:vAlign w:val="center"/>
          </w:tcPr>
          <w:p w14:paraId="2D40AC69">
            <w:pPr>
              <w:adjustRightInd w:val="0"/>
              <w:snapToGrid w:val="0"/>
              <w:spacing w:line="300" w:lineRule="exact"/>
              <w:jc w:val="center"/>
              <w:rPr>
                <w:rFonts w:ascii="宋体" w:hAnsi="宋体"/>
                <w:bCs/>
                <w:sz w:val="18"/>
                <w:szCs w:val="18"/>
              </w:rPr>
            </w:pPr>
            <w:r>
              <w:rPr>
                <w:rFonts w:hint="eastAsia" w:ascii="宋体" w:hAnsi="宋体"/>
                <w:bCs/>
                <w:sz w:val="18"/>
                <w:szCs w:val="18"/>
              </w:rPr>
              <w:t>50%</w:t>
            </w:r>
          </w:p>
        </w:tc>
        <w:tc>
          <w:tcPr>
            <w:tcW w:w="3559" w:type="dxa"/>
            <w:tcBorders>
              <w:top w:val="single" w:color="auto" w:sz="4" w:space="0"/>
              <w:left w:val="single" w:color="auto" w:sz="4" w:space="0"/>
              <w:bottom w:val="single" w:color="auto" w:sz="4" w:space="0"/>
              <w:right w:val="single" w:color="auto" w:sz="4" w:space="0"/>
            </w:tcBorders>
          </w:tcPr>
          <w:p w14:paraId="0B3F78B4">
            <w:pPr>
              <w:jc w:val="left"/>
              <w:rPr>
                <w:sz w:val="18"/>
                <w:szCs w:val="18"/>
              </w:rPr>
            </w:pPr>
            <w:r>
              <w:rPr>
                <w:rFonts w:hint="eastAsia" w:ascii="宋体" w:hAnsi="宋体"/>
                <w:bCs/>
                <w:sz w:val="18"/>
                <w:szCs w:val="18"/>
              </w:rPr>
              <w:t>人民币30000元（含）以下部分</w:t>
            </w:r>
            <w:r>
              <w:rPr>
                <w:sz w:val="18"/>
                <w:szCs w:val="18"/>
              </w:rPr>
              <w:t xml:space="preserve">   </w:t>
            </w:r>
          </w:p>
        </w:tc>
        <w:tc>
          <w:tcPr>
            <w:tcW w:w="1001" w:type="dxa"/>
            <w:tcBorders>
              <w:top w:val="single" w:color="auto" w:sz="4" w:space="0"/>
              <w:left w:val="single" w:color="auto" w:sz="4" w:space="0"/>
              <w:bottom w:val="single" w:color="auto" w:sz="4" w:space="0"/>
              <w:right w:val="single" w:color="auto" w:sz="4" w:space="0"/>
            </w:tcBorders>
            <w:vAlign w:val="center"/>
          </w:tcPr>
          <w:p w14:paraId="4535D402">
            <w:pPr>
              <w:adjustRightInd w:val="0"/>
              <w:snapToGrid w:val="0"/>
              <w:spacing w:line="300" w:lineRule="exact"/>
              <w:jc w:val="center"/>
              <w:rPr>
                <w:rFonts w:ascii="宋体" w:hAnsi="宋体"/>
                <w:bCs/>
                <w:sz w:val="18"/>
                <w:szCs w:val="18"/>
              </w:rPr>
            </w:pPr>
            <w:r>
              <w:rPr>
                <w:rFonts w:hint="eastAsia" w:ascii="宋体" w:hAnsi="宋体"/>
                <w:bCs/>
                <w:sz w:val="18"/>
                <w:szCs w:val="18"/>
              </w:rPr>
              <w:t>90%</w:t>
            </w:r>
          </w:p>
        </w:tc>
      </w:tr>
      <w:tr w14:paraId="3688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9" w:type="dxa"/>
            <w:tcBorders>
              <w:top w:val="single" w:color="auto" w:sz="4" w:space="0"/>
              <w:left w:val="single" w:color="auto" w:sz="4" w:space="0"/>
              <w:bottom w:val="single" w:color="auto" w:sz="4" w:space="0"/>
              <w:right w:val="single" w:color="auto" w:sz="4" w:space="0"/>
            </w:tcBorders>
            <w:vAlign w:val="center"/>
          </w:tcPr>
          <w:p w14:paraId="6A83B4D2">
            <w:pPr>
              <w:adjustRightInd w:val="0"/>
              <w:snapToGrid w:val="0"/>
              <w:spacing w:line="300" w:lineRule="exact"/>
              <w:jc w:val="center"/>
              <w:rPr>
                <w:rFonts w:ascii="宋体" w:hAnsi="宋体"/>
                <w:bCs/>
                <w:sz w:val="18"/>
                <w:szCs w:val="18"/>
              </w:rPr>
            </w:pPr>
            <w:r>
              <w:rPr>
                <w:rFonts w:hint="eastAsia" w:ascii="宋体" w:hAnsi="宋体"/>
                <w:bCs/>
                <w:sz w:val="18"/>
                <w:szCs w:val="18"/>
              </w:rPr>
              <w:t>人民币1000元（含）以上至5000元部分</w:t>
            </w:r>
          </w:p>
        </w:tc>
        <w:tc>
          <w:tcPr>
            <w:tcW w:w="1122" w:type="dxa"/>
            <w:tcBorders>
              <w:top w:val="single" w:color="auto" w:sz="4" w:space="0"/>
              <w:left w:val="single" w:color="auto" w:sz="4" w:space="0"/>
              <w:bottom w:val="single" w:color="auto" w:sz="4" w:space="0"/>
              <w:right w:val="single" w:color="auto" w:sz="4" w:space="0"/>
            </w:tcBorders>
            <w:vAlign w:val="center"/>
          </w:tcPr>
          <w:p w14:paraId="1B8A70B3">
            <w:pPr>
              <w:adjustRightInd w:val="0"/>
              <w:snapToGrid w:val="0"/>
              <w:spacing w:line="300" w:lineRule="exact"/>
              <w:jc w:val="center"/>
              <w:rPr>
                <w:rFonts w:ascii="宋体" w:hAnsi="宋体"/>
                <w:bCs/>
                <w:sz w:val="18"/>
                <w:szCs w:val="18"/>
              </w:rPr>
            </w:pPr>
            <w:r>
              <w:rPr>
                <w:rFonts w:hint="eastAsia" w:ascii="宋体" w:hAnsi="宋体"/>
                <w:bCs/>
                <w:sz w:val="18"/>
                <w:szCs w:val="18"/>
              </w:rPr>
              <w:t>60%</w:t>
            </w:r>
          </w:p>
        </w:tc>
        <w:tc>
          <w:tcPr>
            <w:tcW w:w="3559" w:type="dxa"/>
            <w:tcBorders>
              <w:top w:val="single" w:color="auto" w:sz="4" w:space="0"/>
              <w:left w:val="single" w:color="auto" w:sz="4" w:space="0"/>
              <w:bottom w:val="single" w:color="auto" w:sz="4" w:space="0"/>
              <w:right w:val="single" w:color="auto" w:sz="4" w:space="0"/>
            </w:tcBorders>
          </w:tcPr>
          <w:p w14:paraId="4F91CABA">
            <w:pPr>
              <w:jc w:val="left"/>
            </w:pPr>
            <w:r>
              <w:rPr>
                <w:rFonts w:hint="eastAsia" w:ascii="宋体" w:hAnsi="宋体"/>
                <w:bCs/>
                <w:sz w:val="18"/>
                <w:szCs w:val="18"/>
              </w:rPr>
              <w:t>人民币30000元以上部分</w:t>
            </w:r>
          </w:p>
        </w:tc>
        <w:tc>
          <w:tcPr>
            <w:tcW w:w="1001" w:type="dxa"/>
            <w:tcBorders>
              <w:top w:val="single" w:color="auto" w:sz="4" w:space="0"/>
              <w:left w:val="single" w:color="auto" w:sz="4" w:space="0"/>
              <w:bottom w:val="single" w:color="auto" w:sz="4" w:space="0"/>
              <w:right w:val="single" w:color="auto" w:sz="4" w:space="0"/>
            </w:tcBorders>
            <w:vAlign w:val="center"/>
          </w:tcPr>
          <w:p w14:paraId="1F0740AB">
            <w:pPr>
              <w:adjustRightInd w:val="0"/>
              <w:snapToGrid w:val="0"/>
              <w:spacing w:line="300" w:lineRule="exact"/>
              <w:jc w:val="center"/>
              <w:rPr>
                <w:rFonts w:ascii="宋体" w:hAnsi="宋体"/>
                <w:bCs/>
                <w:sz w:val="18"/>
                <w:szCs w:val="18"/>
              </w:rPr>
            </w:pPr>
            <w:r>
              <w:rPr>
                <w:rFonts w:hint="eastAsia" w:ascii="宋体" w:hAnsi="宋体"/>
                <w:bCs/>
                <w:sz w:val="18"/>
                <w:szCs w:val="18"/>
              </w:rPr>
              <w:t>95%</w:t>
            </w:r>
          </w:p>
        </w:tc>
      </w:tr>
      <w:tr w14:paraId="404E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639" w:type="dxa"/>
            <w:tcBorders>
              <w:top w:val="single" w:color="auto" w:sz="4" w:space="0"/>
              <w:left w:val="single" w:color="auto" w:sz="4" w:space="0"/>
              <w:bottom w:val="single" w:color="auto" w:sz="4" w:space="0"/>
              <w:right w:val="single" w:color="auto" w:sz="4" w:space="0"/>
            </w:tcBorders>
            <w:vAlign w:val="center"/>
          </w:tcPr>
          <w:p w14:paraId="00D4E26E">
            <w:pPr>
              <w:adjustRightInd w:val="0"/>
              <w:snapToGrid w:val="0"/>
              <w:spacing w:line="300" w:lineRule="exact"/>
              <w:jc w:val="center"/>
              <w:rPr>
                <w:rFonts w:ascii="宋体" w:hAnsi="宋体"/>
                <w:bCs/>
                <w:sz w:val="18"/>
                <w:szCs w:val="18"/>
              </w:rPr>
            </w:pPr>
            <w:r>
              <w:rPr>
                <w:rFonts w:hint="eastAsia" w:ascii="宋体" w:hAnsi="宋体"/>
                <w:bCs/>
                <w:sz w:val="18"/>
                <w:szCs w:val="18"/>
              </w:rPr>
              <w:t>人民币5000元（含）以上 至10000元部分</w:t>
            </w:r>
          </w:p>
        </w:tc>
        <w:tc>
          <w:tcPr>
            <w:tcW w:w="1122" w:type="dxa"/>
            <w:tcBorders>
              <w:top w:val="single" w:color="auto" w:sz="4" w:space="0"/>
              <w:left w:val="single" w:color="auto" w:sz="4" w:space="0"/>
              <w:bottom w:val="single" w:color="auto" w:sz="4" w:space="0"/>
              <w:right w:val="single" w:color="auto" w:sz="4" w:space="0"/>
            </w:tcBorders>
            <w:vAlign w:val="center"/>
          </w:tcPr>
          <w:p w14:paraId="10E821C4">
            <w:pPr>
              <w:adjustRightInd w:val="0"/>
              <w:snapToGrid w:val="0"/>
              <w:spacing w:line="300" w:lineRule="exact"/>
              <w:jc w:val="center"/>
              <w:rPr>
                <w:rFonts w:ascii="宋体" w:hAnsi="宋体"/>
                <w:bCs/>
                <w:sz w:val="18"/>
                <w:szCs w:val="18"/>
              </w:rPr>
            </w:pPr>
            <w:r>
              <w:rPr>
                <w:rFonts w:hint="eastAsia" w:ascii="宋体" w:hAnsi="宋体"/>
                <w:bCs/>
                <w:sz w:val="18"/>
                <w:szCs w:val="18"/>
              </w:rPr>
              <w:t>70%</w:t>
            </w:r>
          </w:p>
        </w:tc>
        <w:tc>
          <w:tcPr>
            <w:tcW w:w="3559" w:type="dxa"/>
            <w:tcBorders>
              <w:top w:val="single" w:color="auto" w:sz="4" w:space="0"/>
              <w:left w:val="single" w:color="auto" w:sz="4" w:space="0"/>
              <w:bottom w:val="single" w:color="auto" w:sz="4" w:space="0"/>
              <w:right w:val="single" w:color="auto" w:sz="4" w:space="0"/>
            </w:tcBorders>
          </w:tcPr>
          <w:p w14:paraId="5449D7C0">
            <w:pPr>
              <w:jc w:val="left"/>
            </w:pPr>
          </w:p>
        </w:tc>
        <w:tc>
          <w:tcPr>
            <w:tcW w:w="1001" w:type="dxa"/>
            <w:tcBorders>
              <w:top w:val="single" w:color="auto" w:sz="4" w:space="0"/>
              <w:left w:val="single" w:color="auto" w:sz="4" w:space="0"/>
              <w:bottom w:val="single" w:color="auto" w:sz="4" w:space="0"/>
              <w:right w:val="single" w:color="auto" w:sz="4" w:space="0"/>
            </w:tcBorders>
            <w:vAlign w:val="center"/>
          </w:tcPr>
          <w:p w14:paraId="38D142CF">
            <w:pPr>
              <w:adjustRightInd w:val="0"/>
              <w:snapToGrid w:val="0"/>
              <w:spacing w:line="300" w:lineRule="exact"/>
              <w:jc w:val="center"/>
              <w:rPr>
                <w:rFonts w:ascii="宋体" w:hAnsi="宋体"/>
                <w:bCs/>
                <w:sz w:val="18"/>
                <w:szCs w:val="18"/>
              </w:rPr>
            </w:pPr>
          </w:p>
        </w:tc>
      </w:tr>
      <w:tr w14:paraId="7473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9" w:type="dxa"/>
            <w:tcBorders>
              <w:top w:val="single" w:color="auto" w:sz="4" w:space="0"/>
              <w:left w:val="single" w:color="auto" w:sz="4" w:space="0"/>
              <w:bottom w:val="single" w:color="auto" w:sz="4" w:space="0"/>
              <w:right w:val="single" w:color="auto" w:sz="4" w:space="0"/>
            </w:tcBorders>
            <w:vAlign w:val="center"/>
          </w:tcPr>
          <w:p w14:paraId="509981AC">
            <w:pPr>
              <w:adjustRightInd w:val="0"/>
              <w:snapToGrid w:val="0"/>
              <w:spacing w:line="300" w:lineRule="exact"/>
              <w:jc w:val="center"/>
              <w:rPr>
                <w:rFonts w:ascii="宋体" w:hAnsi="宋体"/>
                <w:bCs/>
                <w:sz w:val="18"/>
                <w:szCs w:val="18"/>
              </w:rPr>
            </w:pPr>
            <w:r>
              <w:rPr>
                <w:rFonts w:hint="eastAsia" w:ascii="宋体" w:hAnsi="宋体"/>
                <w:bCs/>
                <w:sz w:val="18"/>
                <w:szCs w:val="18"/>
              </w:rPr>
              <w:t>人民币10000元（含）以上至30000元部分</w:t>
            </w:r>
          </w:p>
        </w:tc>
        <w:tc>
          <w:tcPr>
            <w:tcW w:w="1122" w:type="dxa"/>
            <w:tcBorders>
              <w:top w:val="single" w:color="auto" w:sz="4" w:space="0"/>
              <w:left w:val="single" w:color="auto" w:sz="4" w:space="0"/>
              <w:bottom w:val="single" w:color="auto" w:sz="4" w:space="0"/>
              <w:right w:val="single" w:color="auto" w:sz="4" w:space="0"/>
            </w:tcBorders>
            <w:vAlign w:val="center"/>
          </w:tcPr>
          <w:p w14:paraId="0D290F80">
            <w:pPr>
              <w:adjustRightInd w:val="0"/>
              <w:snapToGrid w:val="0"/>
              <w:spacing w:line="300" w:lineRule="exact"/>
              <w:jc w:val="center"/>
              <w:rPr>
                <w:rFonts w:ascii="宋体" w:hAnsi="宋体"/>
                <w:bCs/>
                <w:sz w:val="18"/>
                <w:szCs w:val="18"/>
              </w:rPr>
            </w:pPr>
            <w:r>
              <w:rPr>
                <w:rFonts w:hint="eastAsia" w:ascii="宋体" w:hAnsi="宋体"/>
                <w:bCs/>
                <w:sz w:val="18"/>
                <w:szCs w:val="18"/>
              </w:rPr>
              <w:t>80%</w:t>
            </w:r>
          </w:p>
        </w:tc>
        <w:tc>
          <w:tcPr>
            <w:tcW w:w="3559" w:type="dxa"/>
            <w:tcBorders>
              <w:top w:val="single" w:color="auto" w:sz="4" w:space="0"/>
              <w:left w:val="single" w:color="auto" w:sz="4" w:space="0"/>
              <w:bottom w:val="single" w:color="auto" w:sz="4" w:space="0"/>
              <w:right w:val="single" w:color="auto" w:sz="4" w:space="0"/>
            </w:tcBorders>
          </w:tcPr>
          <w:p w14:paraId="104BB20B">
            <w:pPr>
              <w:jc w:val="left"/>
            </w:pPr>
          </w:p>
        </w:tc>
        <w:tc>
          <w:tcPr>
            <w:tcW w:w="1001" w:type="dxa"/>
            <w:tcBorders>
              <w:top w:val="single" w:color="auto" w:sz="4" w:space="0"/>
              <w:left w:val="single" w:color="auto" w:sz="4" w:space="0"/>
              <w:bottom w:val="single" w:color="auto" w:sz="4" w:space="0"/>
              <w:right w:val="single" w:color="auto" w:sz="4" w:space="0"/>
            </w:tcBorders>
            <w:vAlign w:val="center"/>
          </w:tcPr>
          <w:p w14:paraId="1F703554">
            <w:pPr>
              <w:adjustRightInd w:val="0"/>
              <w:snapToGrid w:val="0"/>
              <w:spacing w:line="300" w:lineRule="exact"/>
              <w:jc w:val="center"/>
              <w:rPr>
                <w:rFonts w:ascii="宋体" w:hAnsi="宋体"/>
                <w:bCs/>
                <w:sz w:val="18"/>
                <w:szCs w:val="18"/>
              </w:rPr>
            </w:pPr>
          </w:p>
        </w:tc>
      </w:tr>
      <w:tr w14:paraId="3BD6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9" w:type="dxa"/>
            <w:tcBorders>
              <w:top w:val="single" w:color="auto" w:sz="4" w:space="0"/>
              <w:left w:val="single" w:color="auto" w:sz="4" w:space="0"/>
              <w:bottom w:val="single" w:color="auto" w:sz="4" w:space="0"/>
              <w:right w:val="single" w:color="auto" w:sz="4" w:space="0"/>
            </w:tcBorders>
            <w:vAlign w:val="center"/>
          </w:tcPr>
          <w:p w14:paraId="295F3594">
            <w:pPr>
              <w:adjustRightInd w:val="0"/>
              <w:snapToGrid w:val="0"/>
              <w:spacing w:line="300" w:lineRule="exact"/>
              <w:jc w:val="center"/>
              <w:rPr>
                <w:rFonts w:ascii="宋体" w:hAnsi="宋体"/>
                <w:bCs/>
                <w:sz w:val="18"/>
                <w:szCs w:val="18"/>
              </w:rPr>
            </w:pPr>
            <w:r>
              <w:rPr>
                <w:rFonts w:hint="eastAsia" w:ascii="宋体" w:hAnsi="宋体"/>
                <w:bCs/>
                <w:sz w:val="18"/>
                <w:szCs w:val="18"/>
              </w:rPr>
              <w:t>人民币30000元（含）以上部分</w:t>
            </w:r>
          </w:p>
        </w:tc>
        <w:tc>
          <w:tcPr>
            <w:tcW w:w="1122" w:type="dxa"/>
            <w:tcBorders>
              <w:top w:val="single" w:color="auto" w:sz="4" w:space="0"/>
              <w:left w:val="single" w:color="auto" w:sz="4" w:space="0"/>
              <w:bottom w:val="single" w:color="auto" w:sz="4" w:space="0"/>
              <w:right w:val="single" w:color="auto" w:sz="4" w:space="0"/>
            </w:tcBorders>
            <w:vAlign w:val="center"/>
          </w:tcPr>
          <w:p w14:paraId="5B063161">
            <w:pPr>
              <w:adjustRightInd w:val="0"/>
              <w:snapToGrid w:val="0"/>
              <w:spacing w:line="300" w:lineRule="exact"/>
              <w:jc w:val="center"/>
              <w:rPr>
                <w:rFonts w:ascii="宋体" w:hAnsi="宋体"/>
                <w:bCs/>
                <w:sz w:val="18"/>
                <w:szCs w:val="18"/>
              </w:rPr>
            </w:pPr>
            <w:r>
              <w:rPr>
                <w:rFonts w:hint="eastAsia" w:ascii="宋体" w:hAnsi="宋体"/>
                <w:bCs/>
                <w:sz w:val="18"/>
                <w:szCs w:val="18"/>
              </w:rPr>
              <w:t>90%</w:t>
            </w:r>
          </w:p>
        </w:tc>
        <w:tc>
          <w:tcPr>
            <w:tcW w:w="3559" w:type="dxa"/>
            <w:tcBorders>
              <w:top w:val="single" w:color="auto" w:sz="4" w:space="0"/>
              <w:left w:val="single" w:color="auto" w:sz="4" w:space="0"/>
              <w:bottom w:val="single" w:color="auto" w:sz="4" w:space="0"/>
              <w:right w:val="single" w:color="auto" w:sz="4" w:space="0"/>
            </w:tcBorders>
          </w:tcPr>
          <w:p w14:paraId="6C1A30BC">
            <w:pPr>
              <w:widowControl/>
              <w:jc w:val="left"/>
            </w:pPr>
          </w:p>
        </w:tc>
        <w:tc>
          <w:tcPr>
            <w:tcW w:w="1001" w:type="dxa"/>
            <w:tcBorders>
              <w:top w:val="single" w:color="auto" w:sz="4" w:space="0"/>
              <w:left w:val="single" w:color="auto" w:sz="4" w:space="0"/>
              <w:bottom w:val="single" w:color="auto" w:sz="4" w:space="0"/>
              <w:right w:val="single" w:color="auto" w:sz="4" w:space="0"/>
            </w:tcBorders>
          </w:tcPr>
          <w:p w14:paraId="13F6D92B">
            <w:pPr>
              <w:widowControl/>
              <w:jc w:val="left"/>
            </w:pPr>
          </w:p>
        </w:tc>
      </w:tr>
    </w:tbl>
    <w:p w14:paraId="2A003C69">
      <w:pPr>
        <w:pStyle w:val="2"/>
        <w:rPr>
          <w:rFonts w:hint="default" w:eastAsiaTheme="minorEastAsia"/>
          <w:sz w:val="30"/>
          <w:szCs w:val="30"/>
          <w:lang w:val="en-US" w:eastAsia="zh-CN"/>
        </w:rPr>
      </w:pPr>
      <w:r>
        <w:rPr>
          <w:rFonts w:hint="eastAsia"/>
          <w:sz w:val="30"/>
          <w:szCs w:val="30"/>
          <w:lang w:val="en-US" w:eastAsia="zh-CN"/>
        </w:rPr>
        <w:t>注：社保外的费用（自费）不能报销</w:t>
      </w:r>
    </w:p>
    <w:p w14:paraId="09CD88DF">
      <w:pPr>
        <w:rPr>
          <w:sz w:val="32"/>
          <w:szCs w:val="32"/>
        </w:rPr>
      </w:pPr>
      <w:r>
        <w:rPr>
          <w:rFonts w:hint="eastAsia"/>
          <w:sz w:val="32"/>
          <w:szCs w:val="32"/>
        </w:rPr>
        <w:t xml:space="preserve">  学生每年只需支付50元，在全国范围任何时间段（包括寒暑假期）发生意外门诊或住院</w:t>
      </w:r>
      <w:r>
        <w:rPr>
          <w:rFonts w:hint="eastAsia"/>
          <w:sz w:val="32"/>
          <w:szCs w:val="32"/>
          <w:lang w:eastAsia="zh-CN"/>
        </w:rPr>
        <w:t>（</w:t>
      </w:r>
      <w:r>
        <w:rPr>
          <w:rFonts w:hint="eastAsia"/>
          <w:sz w:val="32"/>
          <w:szCs w:val="32"/>
          <w:lang w:val="en-US" w:eastAsia="zh-CN"/>
        </w:rPr>
        <w:t>公立医院</w:t>
      </w:r>
      <w:r>
        <w:rPr>
          <w:rFonts w:hint="eastAsia"/>
          <w:sz w:val="32"/>
          <w:szCs w:val="32"/>
          <w:lang w:eastAsia="zh-CN"/>
        </w:rPr>
        <w:t>）</w:t>
      </w:r>
      <w:r>
        <w:rPr>
          <w:rFonts w:hint="eastAsia"/>
          <w:sz w:val="32"/>
          <w:szCs w:val="32"/>
        </w:rPr>
        <w:t>，均可报销。</w:t>
      </w:r>
    </w:p>
    <w:p w14:paraId="049B7663">
      <w:pPr>
        <w:rPr>
          <w:sz w:val="32"/>
          <w:szCs w:val="32"/>
        </w:rPr>
      </w:pPr>
    </w:p>
    <w:p w14:paraId="2B7247AA">
      <w:pPr>
        <w:rPr>
          <w:sz w:val="32"/>
          <w:szCs w:val="32"/>
        </w:rPr>
      </w:pPr>
      <w:r>
        <w:rPr>
          <w:rFonts w:hint="eastAsia"/>
          <w:sz w:val="32"/>
          <w:szCs w:val="32"/>
        </w:rPr>
        <w:t>保险公司联系人：李伟   电话：13540333305</w:t>
      </w:r>
    </w:p>
    <w:p w14:paraId="4F2206DC">
      <w:pPr>
        <w:rPr>
          <w:sz w:val="32"/>
          <w:szCs w:val="32"/>
        </w:rPr>
      </w:pPr>
    </w:p>
    <w:p w14:paraId="6A6DE7F0">
      <w:pPr>
        <w:rPr>
          <w:sz w:val="32"/>
          <w:szCs w:val="32"/>
        </w:rPr>
      </w:pPr>
    </w:p>
    <w:p w14:paraId="2B09EC89">
      <w:pPr>
        <w:tabs>
          <w:tab w:val="left" w:pos="4800"/>
        </w:tabs>
        <w:rPr>
          <w:sz w:val="32"/>
          <w:szCs w:val="32"/>
        </w:rPr>
      </w:pPr>
      <w:r>
        <w:rPr>
          <w:sz w:val="32"/>
          <w:szCs w:val="32"/>
        </w:rPr>
        <w:tab/>
      </w:r>
    </w:p>
    <w:p w14:paraId="194F17CF">
      <w:pPr>
        <w:tabs>
          <w:tab w:val="left" w:pos="4800"/>
        </w:tabs>
        <w:rPr>
          <w:sz w:val="32"/>
          <w:szCs w:val="32"/>
        </w:rPr>
      </w:pPr>
    </w:p>
    <w:p w14:paraId="5DF954D3">
      <w:pPr>
        <w:tabs>
          <w:tab w:val="left" w:pos="4800"/>
        </w:tabs>
        <w:ind w:firstLine="3840" w:firstLineChars="1200"/>
        <w:rPr>
          <w:sz w:val="32"/>
          <w:szCs w:val="32"/>
        </w:rPr>
      </w:pPr>
      <w:r>
        <w:rPr>
          <w:rFonts w:hint="eastAsia"/>
          <w:sz w:val="32"/>
          <w:szCs w:val="32"/>
        </w:rPr>
        <w:t>中华联合财产保险股份有限公</w:t>
      </w:r>
    </w:p>
    <w:p w14:paraId="057E3274">
      <w:pPr>
        <w:tabs>
          <w:tab w:val="left" w:pos="4800"/>
        </w:tabs>
        <w:ind w:firstLine="5440" w:firstLineChars="1700"/>
        <w:rPr>
          <w:sz w:val="32"/>
          <w:szCs w:val="32"/>
        </w:rPr>
      </w:pPr>
      <w:r>
        <w:rPr>
          <w:rFonts w:hint="eastAsia"/>
          <w:sz w:val="32"/>
          <w:szCs w:val="32"/>
        </w:rPr>
        <w:t>20</w:t>
      </w:r>
      <w:r>
        <w:rPr>
          <w:rFonts w:hint="eastAsia"/>
          <w:sz w:val="32"/>
          <w:szCs w:val="32"/>
          <w:lang w:val="en-US" w:eastAsia="zh-CN"/>
        </w:rPr>
        <w:t>25</w:t>
      </w:r>
      <w:r>
        <w:rPr>
          <w:rFonts w:hint="eastAsia"/>
          <w:sz w:val="32"/>
          <w:szCs w:val="32"/>
        </w:rPr>
        <w:t>年</w:t>
      </w:r>
      <w:r>
        <w:rPr>
          <w:rFonts w:hint="eastAsia"/>
          <w:sz w:val="32"/>
          <w:szCs w:val="32"/>
          <w:lang w:val="en-US" w:eastAsia="zh-CN"/>
        </w:rPr>
        <w:t>8</w:t>
      </w:r>
      <w:r>
        <w:rPr>
          <w:rFonts w:hint="eastAsia"/>
          <w:sz w:val="32"/>
          <w:szCs w:val="32"/>
        </w:rPr>
        <w:t>月</w:t>
      </w:r>
      <w:r>
        <w:rPr>
          <w:rFonts w:hint="eastAsia"/>
          <w:sz w:val="32"/>
          <w:szCs w:val="32"/>
          <w:lang w:val="en-US" w:eastAsia="zh-CN"/>
        </w:rPr>
        <w:t>20</w:t>
      </w:r>
      <w:bookmarkStart w:id="0" w:name="_GoBack"/>
      <w:bookmarkEnd w:id="0"/>
      <w:r>
        <w:rPr>
          <w:rFonts w:hint="eastAsia"/>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ZmYmFiMTk5ZjVjNGFjYWUxYmVhZWNiYjQ1OTgyYTIifQ=="/>
  </w:docVars>
  <w:rsids>
    <w:rsidRoot w:val="00CF7C5B"/>
    <w:rsid w:val="00001390"/>
    <w:rsid w:val="0000161D"/>
    <w:rsid w:val="00005E96"/>
    <w:rsid w:val="0001163D"/>
    <w:rsid w:val="000122A5"/>
    <w:rsid w:val="00012A0E"/>
    <w:rsid w:val="00012F5E"/>
    <w:rsid w:val="00015D6F"/>
    <w:rsid w:val="0002244C"/>
    <w:rsid w:val="00023002"/>
    <w:rsid w:val="00023A1C"/>
    <w:rsid w:val="000257A6"/>
    <w:rsid w:val="0002719E"/>
    <w:rsid w:val="00036B7E"/>
    <w:rsid w:val="00040A19"/>
    <w:rsid w:val="00041391"/>
    <w:rsid w:val="000414F7"/>
    <w:rsid w:val="000449FB"/>
    <w:rsid w:val="0005055B"/>
    <w:rsid w:val="000519C8"/>
    <w:rsid w:val="00052769"/>
    <w:rsid w:val="00053E29"/>
    <w:rsid w:val="00056A42"/>
    <w:rsid w:val="00060400"/>
    <w:rsid w:val="000612B2"/>
    <w:rsid w:val="00067AC2"/>
    <w:rsid w:val="00074E05"/>
    <w:rsid w:val="0007626C"/>
    <w:rsid w:val="00076757"/>
    <w:rsid w:val="00080569"/>
    <w:rsid w:val="0008598F"/>
    <w:rsid w:val="000915D0"/>
    <w:rsid w:val="00092108"/>
    <w:rsid w:val="00092179"/>
    <w:rsid w:val="000969BB"/>
    <w:rsid w:val="00097149"/>
    <w:rsid w:val="000A3A3C"/>
    <w:rsid w:val="000A640E"/>
    <w:rsid w:val="000B239F"/>
    <w:rsid w:val="000B2E35"/>
    <w:rsid w:val="000B5448"/>
    <w:rsid w:val="000B5701"/>
    <w:rsid w:val="000C6173"/>
    <w:rsid w:val="000D40B0"/>
    <w:rsid w:val="000D515F"/>
    <w:rsid w:val="000D58E1"/>
    <w:rsid w:val="000D65B9"/>
    <w:rsid w:val="000D7E1D"/>
    <w:rsid w:val="000E21AA"/>
    <w:rsid w:val="000E220C"/>
    <w:rsid w:val="000E6812"/>
    <w:rsid w:val="000E7C8A"/>
    <w:rsid w:val="000F1C60"/>
    <w:rsid w:val="000F3232"/>
    <w:rsid w:val="000F3AE7"/>
    <w:rsid w:val="000F5EA4"/>
    <w:rsid w:val="00100668"/>
    <w:rsid w:val="00104C0C"/>
    <w:rsid w:val="00104D76"/>
    <w:rsid w:val="001069F7"/>
    <w:rsid w:val="00112509"/>
    <w:rsid w:val="00115C32"/>
    <w:rsid w:val="0012060A"/>
    <w:rsid w:val="0012068D"/>
    <w:rsid w:val="00121CCB"/>
    <w:rsid w:val="001257CA"/>
    <w:rsid w:val="00125A1F"/>
    <w:rsid w:val="001270E4"/>
    <w:rsid w:val="00133691"/>
    <w:rsid w:val="00135EB6"/>
    <w:rsid w:val="00136290"/>
    <w:rsid w:val="00140FA9"/>
    <w:rsid w:val="00142B55"/>
    <w:rsid w:val="00153952"/>
    <w:rsid w:val="0015571C"/>
    <w:rsid w:val="00160794"/>
    <w:rsid w:val="00164E5F"/>
    <w:rsid w:val="00170B6E"/>
    <w:rsid w:val="0017169D"/>
    <w:rsid w:val="00177000"/>
    <w:rsid w:val="001776BB"/>
    <w:rsid w:val="001820A7"/>
    <w:rsid w:val="001823E9"/>
    <w:rsid w:val="0018273F"/>
    <w:rsid w:val="00184408"/>
    <w:rsid w:val="00185951"/>
    <w:rsid w:val="001859E2"/>
    <w:rsid w:val="001911FE"/>
    <w:rsid w:val="00195454"/>
    <w:rsid w:val="00195E0F"/>
    <w:rsid w:val="00197E32"/>
    <w:rsid w:val="001A045C"/>
    <w:rsid w:val="001A2866"/>
    <w:rsid w:val="001A3861"/>
    <w:rsid w:val="001A583F"/>
    <w:rsid w:val="001A6C5C"/>
    <w:rsid w:val="001B04BA"/>
    <w:rsid w:val="001B11EF"/>
    <w:rsid w:val="001C0DD9"/>
    <w:rsid w:val="001D3482"/>
    <w:rsid w:val="001D351A"/>
    <w:rsid w:val="001D5C9C"/>
    <w:rsid w:val="001D6BA5"/>
    <w:rsid w:val="001E1FBC"/>
    <w:rsid w:val="001E4C84"/>
    <w:rsid w:val="001E648F"/>
    <w:rsid w:val="001E66FE"/>
    <w:rsid w:val="001F1BDC"/>
    <w:rsid w:val="001F3059"/>
    <w:rsid w:val="001F546D"/>
    <w:rsid w:val="001F6DEF"/>
    <w:rsid w:val="001F7804"/>
    <w:rsid w:val="002066A1"/>
    <w:rsid w:val="00207A69"/>
    <w:rsid w:val="0021303D"/>
    <w:rsid w:val="00215BAA"/>
    <w:rsid w:val="00223D3B"/>
    <w:rsid w:val="00231CB3"/>
    <w:rsid w:val="00233A2F"/>
    <w:rsid w:val="00234379"/>
    <w:rsid w:val="00234734"/>
    <w:rsid w:val="00245CDE"/>
    <w:rsid w:val="00247DC9"/>
    <w:rsid w:val="00263781"/>
    <w:rsid w:val="00263949"/>
    <w:rsid w:val="00263DE6"/>
    <w:rsid w:val="00264D20"/>
    <w:rsid w:val="00266A5E"/>
    <w:rsid w:val="002732DB"/>
    <w:rsid w:val="00274651"/>
    <w:rsid w:val="002751E5"/>
    <w:rsid w:val="00276420"/>
    <w:rsid w:val="00276CC7"/>
    <w:rsid w:val="00276F31"/>
    <w:rsid w:val="00277AE8"/>
    <w:rsid w:val="00277EF5"/>
    <w:rsid w:val="00287DD1"/>
    <w:rsid w:val="00290A6F"/>
    <w:rsid w:val="002A54CF"/>
    <w:rsid w:val="002B4988"/>
    <w:rsid w:val="002B70B1"/>
    <w:rsid w:val="002C01B1"/>
    <w:rsid w:val="002C292A"/>
    <w:rsid w:val="002C3629"/>
    <w:rsid w:val="002C3B3E"/>
    <w:rsid w:val="002C4EE4"/>
    <w:rsid w:val="002C78FC"/>
    <w:rsid w:val="002D2D19"/>
    <w:rsid w:val="002D3B47"/>
    <w:rsid w:val="002D6C8C"/>
    <w:rsid w:val="002D6E8D"/>
    <w:rsid w:val="002D7749"/>
    <w:rsid w:val="002E02BE"/>
    <w:rsid w:val="002F23AD"/>
    <w:rsid w:val="002F379F"/>
    <w:rsid w:val="002F58D2"/>
    <w:rsid w:val="002F689C"/>
    <w:rsid w:val="00300A01"/>
    <w:rsid w:val="003016B1"/>
    <w:rsid w:val="003038B5"/>
    <w:rsid w:val="00303AB2"/>
    <w:rsid w:val="00304995"/>
    <w:rsid w:val="003229EF"/>
    <w:rsid w:val="00326B85"/>
    <w:rsid w:val="00331EE1"/>
    <w:rsid w:val="003329DB"/>
    <w:rsid w:val="0033678F"/>
    <w:rsid w:val="00337AA8"/>
    <w:rsid w:val="00341816"/>
    <w:rsid w:val="00342858"/>
    <w:rsid w:val="0034535F"/>
    <w:rsid w:val="00361977"/>
    <w:rsid w:val="003661E8"/>
    <w:rsid w:val="00370F63"/>
    <w:rsid w:val="00374F8B"/>
    <w:rsid w:val="00376E37"/>
    <w:rsid w:val="003839E2"/>
    <w:rsid w:val="0038534C"/>
    <w:rsid w:val="003869D8"/>
    <w:rsid w:val="00386B79"/>
    <w:rsid w:val="0038783A"/>
    <w:rsid w:val="003900E3"/>
    <w:rsid w:val="003925A1"/>
    <w:rsid w:val="00392AC5"/>
    <w:rsid w:val="00395600"/>
    <w:rsid w:val="00396216"/>
    <w:rsid w:val="0039721F"/>
    <w:rsid w:val="003B0A6B"/>
    <w:rsid w:val="003B2DA9"/>
    <w:rsid w:val="003B70BB"/>
    <w:rsid w:val="003C1E42"/>
    <w:rsid w:val="003C270F"/>
    <w:rsid w:val="003C495F"/>
    <w:rsid w:val="003C4CAC"/>
    <w:rsid w:val="003C7168"/>
    <w:rsid w:val="003D10F4"/>
    <w:rsid w:val="003D45AA"/>
    <w:rsid w:val="003D53CD"/>
    <w:rsid w:val="003D551E"/>
    <w:rsid w:val="003E01DA"/>
    <w:rsid w:val="003E0755"/>
    <w:rsid w:val="003E4364"/>
    <w:rsid w:val="003E44DE"/>
    <w:rsid w:val="003E4EC7"/>
    <w:rsid w:val="003E56CA"/>
    <w:rsid w:val="003F2793"/>
    <w:rsid w:val="003F2FA2"/>
    <w:rsid w:val="003F3664"/>
    <w:rsid w:val="003F5167"/>
    <w:rsid w:val="003F5FC4"/>
    <w:rsid w:val="004025CE"/>
    <w:rsid w:val="00403EC5"/>
    <w:rsid w:val="004104AC"/>
    <w:rsid w:val="00411B48"/>
    <w:rsid w:val="004163FD"/>
    <w:rsid w:val="00416DE0"/>
    <w:rsid w:val="004207EB"/>
    <w:rsid w:val="00423C6D"/>
    <w:rsid w:val="004248CF"/>
    <w:rsid w:val="0043021A"/>
    <w:rsid w:val="00430DC1"/>
    <w:rsid w:val="00433306"/>
    <w:rsid w:val="00433FD1"/>
    <w:rsid w:val="00434B19"/>
    <w:rsid w:val="004359FC"/>
    <w:rsid w:val="004361C8"/>
    <w:rsid w:val="004364B8"/>
    <w:rsid w:val="00437F2A"/>
    <w:rsid w:val="00441CF1"/>
    <w:rsid w:val="00443E01"/>
    <w:rsid w:val="00447E8C"/>
    <w:rsid w:val="00450219"/>
    <w:rsid w:val="00453559"/>
    <w:rsid w:val="004559A8"/>
    <w:rsid w:val="00456371"/>
    <w:rsid w:val="004569D5"/>
    <w:rsid w:val="004579C7"/>
    <w:rsid w:val="00472985"/>
    <w:rsid w:val="00474124"/>
    <w:rsid w:val="004743BE"/>
    <w:rsid w:val="004761B8"/>
    <w:rsid w:val="0048044E"/>
    <w:rsid w:val="00486658"/>
    <w:rsid w:val="00487098"/>
    <w:rsid w:val="00492219"/>
    <w:rsid w:val="0049563F"/>
    <w:rsid w:val="004969E1"/>
    <w:rsid w:val="00496A2B"/>
    <w:rsid w:val="004A0217"/>
    <w:rsid w:val="004A0BD4"/>
    <w:rsid w:val="004A1ABA"/>
    <w:rsid w:val="004A75AF"/>
    <w:rsid w:val="004B4B19"/>
    <w:rsid w:val="004B7992"/>
    <w:rsid w:val="004C08D3"/>
    <w:rsid w:val="004C0D0A"/>
    <w:rsid w:val="004C4D3E"/>
    <w:rsid w:val="004D3034"/>
    <w:rsid w:val="004D68BE"/>
    <w:rsid w:val="004D7938"/>
    <w:rsid w:val="004E0049"/>
    <w:rsid w:val="004E35EA"/>
    <w:rsid w:val="004E4528"/>
    <w:rsid w:val="004E686D"/>
    <w:rsid w:val="004F07A9"/>
    <w:rsid w:val="004F121D"/>
    <w:rsid w:val="004F5692"/>
    <w:rsid w:val="005022C9"/>
    <w:rsid w:val="005023A7"/>
    <w:rsid w:val="0050261B"/>
    <w:rsid w:val="00504B0C"/>
    <w:rsid w:val="00504FE4"/>
    <w:rsid w:val="00506142"/>
    <w:rsid w:val="0051305E"/>
    <w:rsid w:val="005175DD"/>
    <w:rsid w:val="00521DBA"/>
    <w:rsid w:val="005241BB"/>
    <w:rsid w:val="00527651"/>
    <w:rsid w:val="005305AC"/>
    <w:rsid w:val="00530F7B"/>
    <w:rsid w:val="0053201B"/>
    <w:rsid w:val="00532D1B"/>
    <w:rsid w:val="00541B89"/>
    <w:rsid w:val="00553E16"/>
    <w:rsid w:val="00555052"/>
    <w:rsid w:val="00556EA6"/>
    <w:rsid w:val="00556F1C"/>
    <w:rsid w:val="0056431E"/>
    <w:rsid w:val="00566642"/>
    <w:rsid w:val="00567F2C"/>
    <w:rsid w:val="00572525"/>
    <w:rsid w:val="005743D7"/>
    <w:rsid w:val="00580233"/>
    <w:rsid w:val="00581F6D"/>
    <w:rsid w:val="005825D5"/>
    <w:rsid w:val="00584B72"/>
    <w:rsid w:val="00586355"/>
    <w:rsid w:val="0059515D"/>
    <w:rsid w:val="00596A15"/>
    <w:rsid w:val="005A091E"/>
    <w:rsid w:val="005A42AC"/>
    <w:rsid w:val="005A4A24"/>
    <w:rsid w:val="005C3B8F"/>
    <w:rsid w:val="005C4551"/>
    <w:rsid w:val="005C51AC"/>
    <w:rsid w:val="005D0020"/>
    <w:rsid w:val="005D2A02"/>
    <w:rsid w:val="005D77C1"/>
    <w:rsid w:val="005E077C"/>
    <w:rsid w:val="005E0BA8"/>
    <w:rsid w:val="005E1A59"/>
    <w:rsid w:val="005F0C19"/>
    <w:rsid w:val="005F38A4"/>
    <w:rsid w:val="0060030E"/>
    <w:rsid w:val="006046F6"/>
    <w:rsid w:val="006129DC"/>
    <w:rsid w:val="00614B1F"/>
    <w:rsid w:val="00614CDD"/>
    <w:rsid w:val="0061686F"/>
    <w:rsid w:val="006237FD"/>
    <w:rsid w:val="006253D8"/>
    <w:rsid w:val="00626EF5"/>
    <w:rsid w:val="00627793"/>
    <w:rsid w:val="00627BE6"/>
    <w:rsid w:val="006304A1"/>
    <w:rsid w:val="006357E9"/>
    <w:rsid w:val="00637B6A"/>
    <w:rsid w:val="00640C3F"/>
    <w:rsid w:val="0064378E"/>
    <w:rsid w:val="00645A87"/>
    <w:rsid w:val="0065113E"/>
    <w:rsid w:val="00654164"/>
    <w:rsid w:val="0065715C"/>
    <w:rsid w:val="00657CB5"/>
    <w:rsid w:val="0066182A"/>
    <w:rsid w:val="00662C55"/>
    <w:rsid w:val="00662F1F"/>
    <w:rsid w:val="00664C97"/>
    <w:rsid w:val="00666A1F"/>
    <w:rsid w:val="006722F0"/>
    <w:rsid w:val="00676232"/>
    <w:rsid w:val="00676271"/>
    <w:rsid w:val="00680173"/>
    <w:rsid w:val="00680AAB"/>
    <w:rsid w:val="00683233"/>
    <w:rsid w:val="006906AA"/>
    <w:rsid w:val="006930A8"/>
    <w:rsid w:val="006956F1"/>
    <w:rsid w:val="006A2C08"/>
    <w:rsid w:val="006A4E61"/>
    <w:rsid w:val="006A525E"/>
    <w:rsid w:val="006A5AF5"/>
    <w:rsid w:val="006B16FA"/>
    <w:rsid w:val="006B3175"/>
    <w:rsid w:val="006B3514"/>
    <w:rsid w:val="006B4F65"/>
    <w:rsid w:val="006B52E1"/>
    <w:rsid w:val="006B77CA"/>
    <w:rsid w:val="006C01F6"/>
    <w:rsid w:val="006C3984"/>
    <w:rsid w:val="006C63AD"/>
    <w:rsid w:val="006D0053"/>
    <w:rsid w:val="006D1167"/>
    <w:rsid w:val="006D2AAC"/>
    <w:rsid w:val="006D419E"/>
    <w:rsid w:val="006D5313"/>
    <w:rsid w:val="006E0C30"/>
    <w:rsid w:val="006E4C9E"/>
    <w:rsid w:val="006E7F3E"/>
    <w:rsid w:val="006F06D2"/>
    <w:rsid w:val="006F153F"/>
    <w:rsid w:val="006F4ED3"/>
    <w:rsid w:val="00700115"/>
    <w:rsid w:val="00707728"/>
    <w:rsid w:val="00710666"/>
    <w:rsid w:val="00710FE3"/>
    <w:rsid w:val="00712E54"/>
    <w:rsid w:val="007153CD"/>
    <w:rsid w:val="00717103"/>
    <w:rsid w:val="00720788"/>
    <w:rsid w:val="00722496"/>
    <w:rsid w:val="007325EA"/>
    <w:rsid w:val="00737139"/>
    <w:rsid w:val="00737F31"/>
    <w:rsid w:val="00743568"/>
    <w:rsid w:val="0074524B"/>
    <w:rsid w:val="00745DE4"/>
    <w:rsid w:val="00753E4A"/>
    <w:rsid w:val="00756B13"/>
    <w:rsid w:val="00773D2C"/>
    <w:rsid w:val="007749ED"/>
    <w:rsid w:val="00774F3B"/>
    <w:rsid w:val="007753EE"/>
    <w:rsid w:val="007765BF"/>
    <w:rsid w:val="007918DB"/>
    <w:rsid w:val="00792611"/>
    <w:rsid w:val="00794C99"/>
    <w:rsid w:val="0079515C"/>
    <w:rsid w:val="007958F9"/>
    <w:rsid w:val="00796193"/>
    <w:rsid w:val="00796945"/>
    <w:rsid w:val="007A5F26"/>
    <w:rsid w:val="007A5FA2"/>
    <w:rsid w:val="007A604D"/>
    <w:rsid w:val="007A688C"/>
    <w:rsid w:val="007B24B4"/>
    <w:rsid w:val="007B4CA1"/>
    <w:rsid w:val="007C29B1"/>
    <w:rsid w:val="007C2E06"/>
    <w:rsid w:val="007C55E9"/>
    <w:rsid w:val="007C7FE2"/>
    <w:rsid w:val="007D28F2"/>
    <w:rsid w:val="007D4374"/>
    <w:rsid w:val="007D6639"/>
    <w:rsid w:val="007D6837"/>
    <w:rsid w:val="007E0438"/>
    <w:rsid w:val="007E1CED"/>
    <w:rsid w:val="007E77BC"/>
    <w:rsid w:val="007E7AA4"/>
    <w:rsid w:val="007F0543"/>
    <w:rsid w:val="007F1CF3"/>
    <w:rsid w:val="007F7FC3"/>
    <w:rsid w:val="00801E43"/>
    <w:rsid w:val="00806612"/>
    <w:rsid w:val="0080799B"/>
    <w:rsid w:val="00812C76"/>
    <w:rsid w:val="00815C03"/>
    <w:rsid w:val="008177CF"/>
    <w:rsid w:val="00820D27"/>
    <w:rsid w:val="00821ACB"/>
    <w:rsid w:val="008223F9"/>
    <w:rsid w:val="0082501B"/>
    <w:rsid w:val="00827842"/>
    <w:rsid w:val="00831307"/>
    <w:rsid w:val="00832B9E"/>
    <w:rsid w:val="00834A4F"/>
    <w:rsid w:val="008358F7"/>
    <w:rsid w:val="008437CB"/>
    <w:rsid w:val="00845266"/>
    <w:rsid w:val="00851FCE"/>
    <w:rsid w:val="00866F47"/>
    <w:rsid w:val="008704A8"/>
    <w:rsid w:val="0087188B"/>
    <w:rsid w:val="00871ECC"/>
    <w:rsid w:val="00873C4B"/>
    <w:rsid w:val="0087742C"/>
    <w:rsid w:val="00880D20"/>
    <w:rsid w:val="00883641"/>
    <w:rsid w:val="00884EEE"/>
    <w:rsid w:val="0088794A"/>
    <w:rsid w:val="00887F8D"/>
    <w:rsid w:val="00890E0E"/>
    <w:rsid w:val="00891BAB"/>
    <w:rsid w:val="008921DA"/>
    <w:rsid w:val="0089284A"/>
    <w:rsid w:val="008959B9"/>
    <w:rsid w:val="00897376"/>
    <w:rsid w:val="008974B3"/>
    <w:rsid w:val="008A139B"/>
    <w:rsid w:val="008A3A60"/>
    <w:rsid w:val="008A4CC9"/>
    <w:rsid w:val="008B1DD2"/>
    <w:rsid w:val="008B288A"/>
    <w:rsid w:val="008B2A62"/>
    <w:rsid w:val="008B5DDB"/>
    <w:rsid w:val="008B7E78"/>
    <w:rsid w:val="008C13BF"/>
    <w:rsid w:val="008C447F"/>
    <w:rsid w:val="008C5AF2"/>
    <w:rsid w:val="008C6E03"/>
    <w:rsid w:val="008C74A7"/>
    <w:rsid w:val="008D5935"/>
    <w:rsid w:val="008E0AA8"/>
    <w:rsid w:val="008E4A99"/>
    <w:rsid w:val="008F445D"/>
    <w:rsid w:val="00914765"/>
    <w:rsid w:val="0091493E"/>
    <w:rsid w:val="00916A3B"/>
    <w:rsid w:val="00917FE7"/>
    <w:rsid w:val="00925364"/>
    <w:rsid w:val="009262E5"/>
    <w:rsid w:val="00926F7B"/>
    <w:rsid w:val="00927219"/>
    <w:rsid w:val="00931D54"/>
    <w:rsid w:val="009345CA"/>
    <w:rsid w:val="0093581D"/>
    <w:rsid w:val="00936843"/>
    <w:rsid w:val="00941179"/>
    <w:rsid w:val="00944145"/>
    <w:rsid w:val="00946B29"/>
    <w:rsid w:val="00950EF0"/>
    <w:rsid w:val="009571E9"/>
    <w:rsid w:val="009642EF"/>
    <w:rsid w:val="00966EB4"/>
    <w:rsid w:val="009671FA"/>
    <w:rsid w:val="00967FB9"/>
    <w:rsid w:val="00972B82"/>
    <w:rsid w:val="00976114"/>
    <w:rsid w:val="009772AE"/>
    <w:rsid w:val="009772E5"/>
    <w:rsid w:val="00977C2A"/>
    <w:rsid w:val="009800FC"/>
    <w:rsid w:val="0098241A"/>
    <w:rsid w:val="0098320C"/>
    <w:rsid w:val="0098567E"/>
    <w:rsid w:val="00985D1E"/>
    <w:rsid w:val="00987DA8"/>
    <w:rsid w:val="00987E2C"/>
    <w:rsid w:val="00994104"/>
    <w:rsid w:val="00994134"/>
    <w:rsid w:val="009A17A9"/>
    <w:rsid w:val="009A6B6D"/>
    <w:rsid w:val="009B6545"/>
    <w:rsid w:val="009B7BCA"/>
    <w:rsid w:val="009C02B4"/>
    <w:rsid w:val="009C20AC"/>
    <w:rsid w:val="009C664B"/>
    <w:rsid w:val="009D1EA4"/>
    <w:rsid w:val="009D1F4E"/>
    <w:rsid w:val="009D27D7"/>
    <w:rsid w:val="009D2873"/>
    <w:rsid w:val="009D393E"/>
    <w:rsid w:val="009D422B"/>
    <w:rsid w:val="009E085A"/>
    <w:rsid w:val="009E4A33"/>
    <w:rsid w:val="009E523E"/>
    <w:rsid w:val="009E692F"/>
    <w:rsid w:val="009E7B40"/>
    <w:rsid w:val="009F224D"/>
    <w:rsid w:val="009F488A"/>
    <w:rsid w:val="009F4C3C"/>
    <w:rsid w:val="009F4E71"/>
    <w:rsid w:val="009F7F5C"/>
    <w:rsid w:val="00A024DC"/>
    <w:rsid w:val="00A02EB2"/>
    <w:rsid w:val="00A045BE"/>
    <w:rsid w:val="00A050D2"/>
    <w:rsid w:val="00A0788F"/>
    <w:rsid w:val="00A10082"/>
    <w:rsid w:val="00A11352"/>
    <w:rsid w:val="00A1295C"/>
    <w:rsid w:val="00A24FF6"/>
    <w:rsid w:val="00A300C3"/>
    <w:rsid w:val="00A35079"/>
    <w:rsid w:val="00A44EAA"/>
    <w:rsid w:val="00A461CC"/>
    <w:rsid w:val="00A54A3C"/>
    <w:rsid w:val="00A570A9"/>
    <w:rsid w:val="00A7162D"/>
    <w:rsid w:val="00A759B4"/>
    <w:rsid w:val="00A776B0"/>
    <w:rsid w:val="00A811E7"/>
    <w:rsid w:val="00A82BF1"/>
    <w:rsid w:val="00A85E2D"/>
    <w:rsid w:val="00A86EE9"/>
    <w:rsid w:val="00A92783"/>
    <w:rsid w:val="00A94D9F"/>
    <w:rsid w:val="00A952BF"/>
    <w:rsid w:val="00AA1066"/>
    <w:rsid w:val="00AA4EE1"/>
    <w:rsid w:val="00AA4FD9"/>
    <w:rsid w:val="00AB436D"/>
    <w:rsid w:val="00AB4F97"/>
    <w:rsid w:val="00AB7446"/>
    <w:rsid w:val="00AC1DE0"/>
    <w:rsid w:val="00AC4888"/>
    <w:rsid w:val="00AC4FA0"/>
    <w:rsid w:val="00AC6B65"/>
    <w:rsid w:val="00AD1D0C"/>
    <w:rsid w:val="00AD2945"/>
    <w:rsid w:val="00AD3B07"/>
    <w:rsid w:val="00AD70FE"/>
    <w:rsid w:val="00AE1962"/>
    <w:rsid w:val="00AE225C"/>
    <w:rsid w:val="00AE41D0"/>
    <w:rsid w:val="00AE4FE3"/>
    <w:rsid w:val="00AE717B"/>
    <w:rsid w:val="00AF1823"/>
    <w:rsid w:val="00AF2E57"/>
    <w:rsid w:val="00AF454C"/>
    <w:rsid w:val="00AF4689"/>
    <w:rsid w:val="00B06D71"/>
    <w:rsid w:val="00B07750"/>
    <w:rsid w:val="00B1296F"/>
    <w:rsid w:val="00B12A9B"/>
    <w:rsid w:val="00B1391B"/>
    <w:rsid w:val="00B14266"/>
    <w:rsid w:val="00B151FF"/>
    <w:rsid w:val="00B15AEE"/>
    <w:rsid w:val="00B20A22"/>
    <w:rsid w:val="00B23F0E"/>
    <w:rsid w:val="00B264B7"/>
    <w:rsid w:val="00B26764"/>
    <w:rsid w:val="00B270B7"/>
    <w:rsid w:val="00B373A5"/>
    <w:rsid w:val="00B37AEB"/>
    <w:rsid w:val="00B417DC"/>
    <w:rsid w:val="00B42D8D"/>
    <w:rsid w:val="00B53775"/>
    <w:rsid w:val="00B544E3"/>
    <w:rsid w:val="00B55909"/>
    <w:rsid w:val="00B61C5A"/>
    <w:rsid w:val="00B62250"/>
    <w:rsid w:val="00B623AB"/>
    <w:rsid w:val="00B64E63"/>
    <w:rsid w:val="00B6582F"/>
    <w:rsid w:val="00B748F5"/>
    <w:rsid w:val="00B7600A"/>
    <w:rsid w:val="00B76D7C"/>
    <w:rsid w:val="00B82BF4"/>
    <w:rsid w:val="00B83623"/>
    <w:rsid w:val="00B861D9"/>
    <w:rsid w:val="00B8620B"/>
    <w:rsid w:val="00B91D09"/>
    <w:rsid w:val="00BA13FF"/>
    <w:rsid w:val="00BA27C7"/>
    <w:rsid w:val="00BA2820"/>
    <w:rsid w:val="00BA2F71"/>
    <w:rsid w:val="00BA695C"/>
    <w:rsid w:val="00BB23EE"/>
    <w:rsid w:val="00BC7427"/>
    <w:rsid w:val="00BD1A90"/>
    <w:rsid w:val="00BD2ED2"/>
    <w:rsid w:val="00BD385E"/>
    <w:rsid w:val="00BD6106"/>
    <w:rsid w:val="00BE37FF"/>
    <w:rsid w:val="00BE5916"/>
    <w:rsid w:val="00BF20FE"/>
    <w:rsid w:val="00BF28F0"/>
    <w:rsid w:val="00BF419A"/>
    <w:rsid w:val="00BF614D"/>
    <w:rsid w:val="00BF7644"/>
    <w:rsid w:val="00C03CFF"/>
    <w:rsid w:val="00C05891"/>
    <w:rsid w:val="00C0688F"/>
    <w:rsid w:val="00C06BBA"/>
    <w:rsid w:val="00C144C6"/>
    <w:rsid w:val="00C154D9"/>
    <w:rsid w:val="00C15687"/>
    <w:rsid w:val="00C169D9"/>
    <w:rsid w:val="00C17335"/>
    <w:rsid w:val="00C17392"/>
    <w:rsid w:val="00C17C5A"/>
    <w:rsid w:val="00C24794"/>
    <w:rsid w:val="00C25C33"/>
    <w:rsid w:val="00C260F9"/>
    <w:rsid w:val="00C27221"/>
    <w:rsid w:val="00C31E50"/>
    <w:rsid w:val="00C3574B"/>
    <w:rsid w:val="00C44417"/>
    <w:rsid w:val="00C4626A"/>
    <w:rsid w:val="00C465FC"/>
    <w:rsid w:val="00C51375"/>
    <w:rsid w:val="00C552B2"/>
    <w:rsid w:val="00C705BC"/>
    <w:rsid w:val="00C839A9"/>
    <w:rsid w:val="00C851E5"/>
    <w:rsid w:val="00C86181"/>
    <w:rsid w:val="00C86B0A"/>
    <w:rsid w:val="00C90AEC"/>
    <w:rsid w:val="00C9265F"/>
    <w:rsid w:val="00C96171"/>
    <w:rsid w:val="00C96AC6"/>
    <w:rsid w:val="00CA0C91"/>
    <w:rsid w:val="00CA2474"/>
    <w:rsid w:val="00CA2A63"/>
    <w:rsid w:val="00CB05E7"/>
    <w:rsid w:val="00CB16CB"/>
    <w:rsid w:val="00CB3C20"/>
    <w:rsid w:val="00CB4F73"/>
    <w:rsid w:val="00CC0004"/>
    <w:rsid w:val="00CC6F30"/>
    <w:rsid w:val="00CD1368"/>
    <w:rsid w:val="00CD18FB"/>
    <w:rsid w:val="00CD1A51"/>
    <w:rsid w:val="00CD1E79"/>
    <w:rsid w:val="00CD2009"/>
    <w:rsid w:val="00CD33BC"/>
    <w:rsid w:val="00CD4A65"/>
    <w:rsid w:val="00CE00B8"/>
    <w:rsid w:val="00CE2014"/>
    <w:rsid w:val="00CE251B"/>
    <w:rsid w:val="00CE36F1"/>
    <w:rsid w:val="00CE4ED5"/>
    <w:rsid w:val="00CE6734"/>
    <w:rsid w:val="00CF1157"/>
    <w:rsid w:val="00CF7C5B"/>
    <w:rsid w:val="00D004ED"/>
    <w:rsid w:val="00D00D7E"/>
    <w:rsid w:val="00D02E2B"/>
    <w:rsid w:val="00D112AD"/>
    <w:rsid w:val="00D12760"/>
    <w:rsid w:val="00D13E52"/>
    <w:rsid w:val="00D14DFD"/>
    <w:rsid w:val="00D1665A"/>
    <w:rsid w:val="00D1755C"/>
    <w:rsid w:val="00D200C4"/>
    <w:rsid w:val="00D23A3A"/>
    <w:rsid w:val="00D24172"/>
    <w:rsid w:val="00D24554"/>
    <w:rsid w:val="00D26214"/>
    <w:rsid w:val="00D269CF"/>
    <w:rsid w:val="00D32ED4"/>
    <w:rsid w:val="00D333C8"/>
    <w:rsid w:val="00D41D3A"/>
    <w:rsid w:val="00D44445"/>
    <w:rsid w:val="00D476D5"/>
    <w:rsid w:val="00D47C6A"/>
    <w:rsid w:val="00D51280"/>
    <w:rsid w:val="00D57F40"/>
    <w:rsid w:val="00D650D8"/>
    <w:rsid w:val="00D653D8"/>
    <w:rsid w:val="00D654AF"/>
    <w:rsid w:val="00D70A95"/>
    <w:rsid w:val="00D70C76"/>
    <w:rsid w:val="00D7164D"/>
    <w:rsid w:val="00D76957"/>
    <w:rsid w:val="00D8146F"/>
    <w:rsid w:val="00D82672"/>
    <w:rsid w:val="00D836EF"/>
    <w:rsid w:val="00D84379"/>
    <w:rsid w:val="00D85365"/>
    <w:rsid w:val="00D85FF1"/>
    <w:rsid w:val="00D904B4"/>
    <w:rsid w:val="00D96F09"/>
    <w:rsid w:val="00DA7BAA"/>
    <w:rsid w:val="00DB0649"/>
    <w:rsid w:val="00DB3F8E"/>
    <w:rsid w:val="00DB52D8"/>
    <w:rsid w:val="00DC2AA6"/>
    <w:rsid w:val="00DC4A9D"/>
    <w:rsid w:val="00DD187E"/>
    <w:rsid w:val="00DD51A0"/>
    <w:rsid w:val="00DD6749"/>
    <w:rsid w:val="00DD77BD"/>
    <w:rsid w:val="00DD7B40"/>
    <w:rsid w:val="00DE65D3"/>
    <w:rsid w:val="00DE6C59"/>
    <w:rsid w:val="00DE72BC"/>
    <w:rsid w:val="00DE74E0"/>
    <w:rsid w:val="00DF168C"/>
    <w:rsid w:val="00DF1A6E"/>
    <w:rsid w:val="00DF32CC"/>
    <w:rsid w:val="00DF3A30"/>
    <w:rsid w:val="00DF4410"/>
    <w:rsid w:val="00DF4706"/>
    <w:rsid w:val="00E00D03"/>
    <w:rsid w:val="00E0423E"/>
    <w:rsid w:val="00E05F16"/>
    <w:rsid w:val="00E06A42"/>
    <w:rsid w:val="00E07998"/>
    <w:rsid w:val="00E11781"/>
    <w:rsid w:val="00E1337E"/>
    <w:rsid w:val="00E20FCB"/>
    <w:rsid w:val="00E2281D"/>
    <w:rsid w:val="00E26232"/>
    <w:rsid w:val="00E26D75"/>
    <w:rsid w:val="00E27A54"/>
    <w:rsid w:val="00E3117B"/>
    <w:rsid w:val="00E32FCC"/>
    <w:rsid w:val="00E338D9"/>
    <w:rsid w:val="00E37D15"/>
    <w:rsid w:val="00E402E0"/>
    <w:rsid w:val="00E447EF"/>
    <w:rsid w:val="00E45ECD"/>
    <w:rsid w:val="00E463D7"/>
    <w:rsid w:val="00E505CA"/>
    <w:rsid w:val="00E52B1D"/>
    <w:rsid w:val="00E60573"/>
    <w:rsid w:val="00E6634D"/>
    <w:rsid w:val="00E6704D"/>
    <w:rsid w:val="00E6770D"/>
    <w:rsid w:val="00E67F76"/>
    <w:rsid w:val="00E7456B"/>
    <w:rsid w:val="00E83391"/>
    <w:rsid w:val="00E93D9C"/>
    <w:rsid w:val="00E9612D"/>
    <w:rsid w:val="00EA3CBB"/>
    <w:rsid w:val="00EA4D83"/>
    <w:rsid w:val="00EA58DF"/>
    <w:rsid w:val="00EA6E6C"/>
    <w:rsid w:val="00EA71BA"/>
    <w:rsid w:val="00EB05D3"/>
    <w:rsid w:val="00EB2872"/>
    <w:rsid w:val="00EC19F1"/>
    <w:rsid w:val="00EC1F79"/>
    <w:rsid w:val="00EC492E"/>
    <w:rsid w:val="00EE10C9"/>
    <w:rsid w:val="00EE17CF"/>
    <w:rsid w:val="00EE536E"/>
    <w:rsid w:val="00EE642A"/>
    <w:rsid w:val="00EF01BF"/>
    <w:rsid w:val="00EF0C72"/>
    <w:rsid w:val="00EF3AE2"/>
    <w:rsid w:val="00EF3FAE"/>
    <w:rsid w:val="00EF4283"/>
    <w:rsid w:val="00F00B5C"/>
    <w:rsid w:val="00F03CD7"/>
    <w:rsid w:val="00F1311F"/>
    <w:rsid w:val="00F135D8"/>
    <w:rsid w:val="00F141A7"/>
    <w:rsid w:val="00F145A2"/>
    <w:rsid w:val="00F15D23"/>
    <w:rsid w:val="00F25B09"/>
    <w:rsid w:val="00F2797F"/>
    <w:rsid w:val="00F3236D"/>
    <w:rsid w:val="00F40113"/>
    <w:rsid w:val="00F41CA4"/>
    <w:rsid w:val="00F42934"/>
    <w:rsid w:val="00F43BB8"/>
    <w:rsid w:val="00F44E9E"/>
    <w:rsid w:val="00F52805"/>
    <w:rsid w:val="00F63314"/>
    <w:rsid w:val="00F63741"/>
    <w:rsid w:val="00F64235"/>
    <w:rsid w:val="00F65055"/>
    <w:rsid w:val="00F65A18"/>
    <w:rsid w:val="00F6727D"/>
    <w:rsid w:val="00F746FB"/>
    <w:rsid w:val="00F75394"/>
    <w:rsid w:val="00F80666"/>
    <w:rsid w:val="00F81EA1"/>
    <w:rsid w:val="00F825CF"/>
    <w:rsid w:val="00F84D99"/>
    <w:rsid w:val="00F87B3E"/>
    <w:rsid w:val="00F87B91"/>
    <w:rsid w:val="00F903C2"/>
    <w:rsid w:val="00F91D51"/>
    <w:rsid w:val="00F92E0F"/>
    <w:rsid w:val="00F955C2"/>
    <w:rsid w:val="00F95EE9"/>
    <w:rsid w:val="00F96570"/>
    <w:rsid w:val="00FA701A"/>
    <w:rsid w:val="00FB012B"/>
    <w:rsid w:val="00FB7568"/>
    <w:rsid w:val="00FC2B8D"/>
    <w:rsid w:val="00FC793B"/>
    <w:rsid w:val="00FD21E4"/>
    <w:rsid w:val="00FD2E43"/>
    <w:rsid w:val="00FD31BC"/>
    <w:rsid w:val="00FD6255"/>
    <w:rsid w:val="00FD68E5"/>
    <w:rsid w:val="00FD6BF0"/>
    <w:rsid w:val="00FE071E"/>
    <w:rsid w:val="00FE0C4E"/>
    <w:rsid w:val="00FE3B01"/>
    <w:rsid w:val="00FF12ED"/>
    <w:rsid w:val="00FF2A71"/>
    <w:rsid w:val="00FF3A19"/>
    <w:rsid w:val="00FF63F6"/>
    <w:rsid w:val="01C67D0B"/>
    <w:rsid w:val="028977B4"/>
    <w:rsid w:val="09AC3B9C"/>
    <w:rsid w:val="17FD56D7"/>
    <w:rsid w:val="2A400F7F"/>
    <w:rsid w:val="2E5A7B35"/>
    <w:rsid w:val="4EDE0515"/>
    <w:rsid w:val="56217A72"/>
    <w:rsid w:val="56724AAE"/>
    <w:rsid w:val="687D1350"/>
    <w:rsid w:val="69B538AB"/>
    <w:rsid w:val="6CE5458A"/>
    <w:rsid w:val="74237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704</Words>
  <Characters>788</Characters>
  <Lines>5</Lines>
  <Paragraphs>1</Paragraphs>
  <TotalTime>12</TotalTime>
  <ScaleCrop>false</ScaleCrop>
  <LinksUpToDate>false</LinksUpToDate>
  <CharactersWithSpaces>881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2018-07-02T03:15:00Z</dcterms:created>
  <dc:creator>王寒</dc:creator>
  <cp:lastModifiedBy>Administrator</cp:lastModifiedBy>
  <dcterms:modified xsi:type="dcterms:W3CDTF">2025-08-25T05:52:01Z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C790F8A4EB67401DA04C8656588273B0</vt:lpwstr>
  </property>
  <property fmtid="{D5CDD505-2E9C-101B-9397-08002B2CF9AE}" pid="4" name="KSOTemplateDocerSaveRecord">
    <vt:lpwstr>eyJoZGlkIjoiOGZmYmFiMTk5ZjVjNGFjYWUxYmVhZWNiYjQ1OTgyYTIifQ==</vt:lpwstr>
  </property>
</Properties>
</file>