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方正黑体简体"/>
          <w:bCs/>
          <w:color w:val="000000"/>
          <w:sz w:val="32"/>
          <w:szCs w:val="32"/>
        </w:rPr>
        <w:t>2</w:t>
      </w:r>
    </w:p>
    <w:p>
      <w:pPr>
        <w:widowControl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2023-2024年度“中国大学生自强之星”</w:t>
      </w:r>
    </w:p>
    <w:p>
      <w:pPr>
        <w:widowControl/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科创团体奖学金推荐表</w:t>
      </w:r>
    </w:p>
    <w:tbl>
      <w:tblPr>
        <w:tblStyle w:val="2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20" w:type="dxa"/>
            <w:gridSpan w:val="3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学校意见：（签章）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 w:cs="宋体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</w:rPr>
        <w:t>注：在学青年学生占比不低于80%。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3E"/>
    <w:rsid w:val="001F6B3A"/>
    <w:rsid w:val="00EB6F3E"/>
    <w:rsid w:val="1B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2024-01-16T14:48:00Z</dcterms:created>
  <dc:creator>Joey Liu</dc:creator>
  <cp:lastModifiedBy>吴万万</cp:lastModifiedBy>
  <dcterms:modified xsi:type="dcterms:W3CDTF">2024-01-17T07:25:51Z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8EAAE4D955254DFEA626BF781EA37E7E_13</vt:lpwstr>
  </property>
</Properties>
</file>